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D796B8" w14:textId="2B9C56A8" w:rsidR="009B26D2" w:rsidRPr="006D1D42" w:rsidRDefault="009B26D2" w:rsidP="000D13B1">
      <w:pPr>
        <w:pBdr>
          <w:bottom w:val="single" w:sz="12" w:space="1" w:color="auto"/>
        </w:pBdr>
        <w:spacing w:after="0" w:line="240" w:lineRule="auto"/>
        <w:contextualSpacing/>
        <w:rPr>
          <w:rFonts w:ascii="Times New Roman" w:hAnsi="Times New Roman" w:cs="Times New Roman"/>
          <w:sz w:val="24"/>
          <w:szCs w:val="24"/>
        </w:rPr>
      </w:pPr>
      <w:r w:rsidRPr="006D1D42">
        <w:rPr>
          <w:rFonts w:ascii="Times New Roman" w:hAnsi="Times New Roman" w:cs="Times New Roman"/>
          <w:noProof/>
          <w:sz w:val="24"/>
          <w:szCs w:val="24"/>
        </w:rPr>
        <w:drawing>
          <wp:anchor distT="0" distB="0" distL="114300" distR="114300" simplePos="0" relativeHeight="251658240" behindDoc="0" locked="0" layoutInCell="1" allowOverlap="1" wp14:anchorId="1E0B8C46" wp14:editId="4DA8A551">
            <wp:simplePos x="0" y="0"/>
            <wp:positionH relativeFrom="column">
              <wp:posOffset>2222500</wp:posOffset>
            </wp:positionH>
            <wp:positionV relativeFrom="paragraph">
              <wp:posOffset>0</wp:posOffset>
            </wp:positionV>
            <wp:extent cx="1390650" cy="1625600"/>
            <wp:effectExtent l="0" t="0" r="0" b="0"/>
            <wp:wrapSquare wrapText="bothSides"/>
            <wp:docPr id="1" name="Picture 9" descr="A picture containing text, sign&#10;&#10;Description automatically generated"/>
            <wp:cNvGraphicFramePr/>
            <a:graphic xmlns:a="http://schemas.openxmlformats.org/drawingml/2006/main">
              <a:graphicData uri="http://schemas.openxmlformats.org/drawingml/2006/picture">
                <pic:pic xmlns:pic="http://schemas.openxmlformats.org/drawingml/2006/picture">
                  <pic:nvPicPr>
                    <pic:cNvPr id="1" name="Picture 9" descr="A picture containing text, sign&#10;&#10;Description automatically generated"/>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90650" cy="1625600"/>
                    </a:xfrm>
                    <a:prstGeom prst="rect">
                      <a:avLst/>
                    </a:prstGeom>
                    <a:noFill/>
                    <a:ln>
                      <a:noFill/>
                    </a:ln>
                  </pic:spPr>
                </pic:pic>
              </a:graphicData>
            </a:graphic>
          </wp:anchor>
        </w:drawing>
      </w:r>
      <w:r w:rsidR="000D13B1" w:rsidRPr="006D1D42">
        <w:rPr>
          <w:rFonts w:ascii="Times New Roman" w:hAnsi="Times New Roman" w:cs="Times New Roman"/>
          <w:sz w:val="24"/>
          <w:szCs w:val="24"/>
        </w:rPr>
        <w:br w:type="textWrapping" w:clear="all"/>
      </w:r>
    </w:p>
    <w:p w14:paraId="6D65051E" w14:textId="77777777" w:rsidR="00F83AC4" w:rsidRPr="006D1D42" w:rsidRDefault="00F83AC4" w:rsidP="00F83AC4">
      <w:pPr>
        <w:pBdr>
          <w:bottom w:val="single" w:sz="12" w:space="1" w:color="auto"/>
        </w:pBdr>
        <w:spacing w:after="0" w:line="240" w:lineRule="auto"/>
        <w:contextualSpacing/>
        <w:jc w:val="center"/>
        <w:rPr>
          <w:rFonts w:ascii="Times New Roman" w:hAnsi="Times New Roman" w:cs="Times New Roman"/>
          <w:sz w:val="24"/>
          <w:szCs w:val="24"/>
        </w:rPr>
      </w:pPr>
    </w:p>
    <w:p w14:paraId="19BDF8EC" w14:textId="1A2DEB96" w:rsidR="009B26D2" w:rsidRPr="006D1D42" w:rsidRDefault="009B26D2" w:rsidP="00F83AC4">
      <w:pPr>
        <w:spacing w:after="0" w:line="240" w:lineRule="auto"/>
        <w:contextualSpacing/>
        <w:jc w:val="center"/>
        <w:rPr>
          <w:rFonts w:ascii="Times New Roman" w:eastAsia="Arial" w:hAnsi="Times New Roman" w:cs="Times New Roman"/>
          <w:color w:val="0563C1" w:themeColor="hyperlink"/>
          <w:u w:val="single"/>
        </w:rPr>
      </w:pPr>
      <w:r w:rsidRPr="006D1D42">
        <w:rPr>
          <w:rFonts w:ascii="Times New Roman" w:eastAsia="Arial" w:hAnsi="Times New Roman" w:cs="Times New Roman"/>
          <w:color w:val="000000"/>
        </w:rPr>
        <w:t xml:space="preserve">179 Livingston Street, Brooklyn, NY 11201 </w:t>
      </w:r>
      <w:r w:rsidRPr="006D1D42">
        <w:rPr>
          <w:rFonts w:ascii="Times New Roman" w:eastAsia="Arial" w:hAnsi="Times New Roman" w:cs="Times New Roman"/>
          <w:color w:val="000000"/>
        </w:rPr>
        <w:sym w:font="Symbol" w:char="F0B7"/>
      </w:r>
      <w:r w:rsidRPr="006D1D42">
        <w:rPr>
          <w:rFonts w:ascii="Times New Roman" w:eastAsia="Arial" w:hAnsi="Times New Roman" w:cs="Times New Roman"/>
          <w:color w:val="000000"/>
        </w:rPr>
        <w:t xml:space="preserve"> Office of </w:t>
      </w:r>
      <w:r w:rsidR="00821979" w:rsidRPr="006D1D42">
        <w:rPr>
          <w:rFonts w:ascii="Times New Roman" w:eastAsia="Arial" w:hAnsi="Times New Roman" w:cs="Times New Roman"/>
          <w:color w:val="000000"/>
        </w:rPr>
        <w:t>Academic Affairs</w:t>
      </w:r>
      <w:r w:rsidR="000D5DEC" w:rsidRPr="006D1D42">
        <w:rPr>
          <w:rFonts w:ascii="Times New Roman" w:eastAsia="Arial" w:hAnsi="Times New Roman" w:cs="Times New Roman"/>
          <w:color w:val="000000"/>
        </w:rPr>
        <w:t xml:space="preserve"> </w:t>
      </w:r>
      <w:r w:rsidRPr="006D1D42">
        <w:rPr>
          <w:rFonts w:ascii="Times New Roman" w:eastAsia="Arial" w:hAnsi="Times New Roman" w:cs="Times New Roman"/>
          <w:color w:val="000000"/>
        </w:rPr>
        <w:sym w:font="Symbol" w:char="F0B7"/>
      </w:r>
      <w:r w:rsidRPr="006D1D42">
        <w:rPr>
          <w:rFonts w:ascii="Times New Roman" w:eastAsia="Arial" w:hAnsi="Times New Roman" w:cs="Times New Roman"/>
          <w:color w:val="000000"/>
        </w:rPr>
        <w:t xml:space="preserve"> </w:t>
      </w:r>
      <w:r w:rsidR="000D5DEC" w:rsidRPr="006D1D42">
        <w:rPr>
          <w:rFonts w:ascii="Times New Roman" w:eastAsia="Arial" w:hAnsi="Times New Roman" w:cs="Times New Roman"/>
          <w:color w:val="000000"/>
        </w:rPr>
        <w:t>academicaffairs@sfc.edu</w:t>
      </w:r>
    </w:p>
    <w:p w14:paraId="280334C0" w14:textId="77777777" w:rsidR="009B26D2" w:rsidRPr="006D1D42" w:rsidRDefault="009B26D2" w:rsidP="002974A3">
      <w:pPr>
        <w:spacing w:after="0" w:line="240" w:lineRule="auto"/>
        <w:contextualSpacing/>
        <w:jc w:val="both"/>
        <w:rPr>
          <w:rFonts w:ascii="Times New Roman" w:hAnsi="Times New Roman" w:cs="Times New Roman"/>
          <w:sz w:val="24"/>
          <w:szCs w:val="24"/>
        </w:rPr>
      </w:pPr>
    </w:p>
    <w:tbl>
      <w:tblPr>
        <w:tblStyle w:val="TableGrid"/>
        <w:tblW w:w="0" w:type="auto"/>
        <w:shd w:val="clear" w:color="auto" w:fill="F2F2F2" w:themeFill="background1" w:themeFillShade="F2"/>
        <w:tblLook w:val="04A0" w:firstRow="1" w:lastRow="0" w:firstColumn="1" w:lastColumn="0" w:noHBand="0" w:noVBand="1"/>
      </w:tblPr>
      <w:tblGrid>
        <w:gridCol w:w="9350"/>
      </w:tblGrid>
      <w:tr w:rsidR="000D5DEC" w:rsidRPr="006D1D42" w14:paraId="3E47B255" w14:textId="77777777" w:rsidTr="00DF53B3">
        <w:tc>
          <w:tcPr>
            <w:tcW w:w="9350" w:type="dxa"/>
            <w:shd w:val="clear" w:color="auto" w:fill="F2F2F2" w:themeFill="background1" w:themeFillShade="F2"/>
          </w:tcPr>
          <w:p w14:paraId="5BBB5F66" w14:textId="4D211334" w:rsidR="000D5DEC" w:rsidRPr="006D1D42" w:rsidRDefault="00911322" w:rsidP="00BE1BC6">
            <w:pPr>
              <w:contextualSpacing/>
              <w:jc w:val="center"/>
              <w:rPr>
                <w:rFonts w:ascii="Times New Roman" w:hAnsi="Times New Roman" w:cs="Times New Roman"/>
                <w:b/>
                <w:sz w:val="24"/>
                <w:szCs w:val="24"/>
              </w:rPr>
            </w:pPr>
            <w:r w:rsidRPr="006D1D42">
              <w:rPr>
                <w:rFonts w:ascii="Times New Roman" w:hAnsi="Times New Roman" w:cs="Times New Roman"/>
                <w:b/>
                <w:sz w:val="24"/>
                <w:szCs w:val="24"/>
              </w:rPr>
              <w:t xml:space="preserve">Undergraduate </w:t>
            </w:r>
            <w:r w:rsidR="000D5DEC" w:rsidRPr="006D1D42">
              <w:rPr>
                <w:rFonts w:ascii="Times New Roman" w:hAnsi="Times New Roman" w:cs="Times New Roman"/>
                <w:b/>
                <w:sz w:val="24"/>
                <w:szCs w:val="24"/>
              </w:rPr>
              <w:t>Attendance Policy</w:t>
            </w:r>
          </w:p>
        </w:tc>
      </w:tr>
    </w:tbl>
    <w:p w14:paraId="13DECE2F" w14:textId="0461B6B5" w:rsidR="000D5DEC" w:rsidRPr="006D1D42" w:rsidRDefault="000D5DEC" w:rsidP="002974A3">
      <w:pPr>
        <w:spacing w:after="0" w:line="240" w:lineRule="auto"/>
        <w:contextualSpacing/>
        <w:jc w:val="both"/>
        <w:rPr>
          <w:rFonts w:ascii="Times New Roman" w:hAnsi="Times New Roman" w:cs="Times New Roman"/>
          <w:sz w:val="24"/>
          <w:szCs w:val="24"/>
        </w:rPr>
      </w:pPr>
    </w:p>
    <w:p w14:paraId="65A85C91" w14:textId="3C932299" w:rsidR="002974A3" w:rsidRPr="006D1D42" w:rsidRDefault="001814A4" w:rsidP="002974A3">
      <w:pPr>
        <w:shd w:val="clear" w:color="auto" w:fill="FFFFFF"/>
        <w:spacing w:after="0" w:line="240" w:lineRule="auto"/>
        <w:contextualSpacing/>
        <w:jc w:val="both"/>
        <w:rPr>
          <w:rFonts w:ascii="Times New Roman" w:eastAsia="Times New Roman" w:hAnsi="Times New Roman" w:cs="Times New Roman"/>
          <w:color w:val="000000"/>
          <w:sz w:val="24"/>
          <w:szCs w:val="24"/>
          <w:bdr w:val="none" w:sz="0" w:space="0" w:color="auto" w:frame="1"/>
        </w:rPr>
      </w:pPr>
      <w:r w:rsidRPr="006D1D42">
        <w:rPr>
          <w:rFonts w:ascii="Times New Roman" w:eastAsia="Times New Roman" w:hAnsi="Times New Roman" w:cs="Times New Roman"/>
          <w:color w:val="000000"/>
          <w:sz w:val="24"/>
          <w:szCs w:val="24"/>
          <w:bdr w:val="none" w:sz="0" w:space="0" w:color="auto" w:frame="1"/>
        </w:rPr>
        <w:t xml:space="preserve">St. Francis College </w:t>
      </w:r>
      <w:r w:rsidR="00F27A09" w:rsidRPr="006D1D42">
        <w:rPr>
          <w:rFonts w:ascii="Times New Roman" w:eastAsia="Times New Roman" w:hAnsi="Times New Roman" w:cs="Times New Roman"/>
          <w:color w:val="000000"/>
          <w:sz w:val="24"/>
          <w:szCs w:val="24"/>
          <w:bdr w:val="none" w:sz="0" w:space="0" w:color="auto" w:frame="1"/>
        </w:rPr>
        <w:t xml:space="preserve">is not an attendance taking institution. </w:t>
      </w:r>
      <w:r w:rsidR="002974A3" w:rsidRPr="006D1D42">
        <w:rPr>
          <w:rFonts w:ascii="Times New Roman" w:eastAsia="Times New Roman" w:hAnsi="Times New Roman" w:cs="Times New Roman"/>
          <w:color w:val="000000"/>
          <w:sz w:val="24"/>
          <w:szCs w:val="24"/>
          <w:bdr w:val="none" w:sz="0" w:space="0" w:color="auto" w:frame="1"/>
        </w:rPr>
        <w:t xml:space="preserve">The SFC attendance and academic engagement policy applies to all course instruction modalities. At the beginning of each term and prior to our census date, </w:t>
      </w:r>
      <w:r w:rsidR="00AE121E" w:rsidRPr="006D1D42">
        <w:rPr>
          <w:rFonts w:ascii="Times New Roman" w:eastAsia="Times New Roman" w:hAnsi="Times New Roman" w:cs="Times New Roman"/>
          <w:color w:val="000000"/>
          <w:sz w:val="24"/>
          <w:szCs w:val="24"/>
          <w:bdr w:val="none" w:sz="0" w:space="0" w:color="auto" w:frame="1"/>
        </w:rPr>
        <w:t xml:space="preserve">all teaching </w:t>
      </w:r>
      <w:r w:rsidR="002974A3" w:rsidRPr="006D1D42">
        <w:rPr>
          <w:rFonts w:ascii="Times New Roman" w:eastAsia="Times New Roman" w:hAnsi="Times New Roman" w:cs="Times New Roman"/>
          <w:color w:val="000000"/>
          <w:sz w:val="24"/>
          <w:szCs w:val="24"/>
          <w:bdr w:val="none" w:sz="0" w:space="0" w:color="auto" w:frame="1"/>
        </w:rPr>
        <w:t xml:space="preserve">faculty conduct an enrollment verification and identify students who have never attended </w:t>
      </w:r>
      <w:r w:rsidR="00F27A09" w:rsidRPr="006D1D42">
        <w:rPr>
          <w:rFonts w:ascii="Times New Roman" w:eastAsia="Times New Roman" w:hAnsi="Times New Roman" w:cs="Times New Roman"/>
          <w:color w:val="000000"/>
          <w:sz w:val="24"/>
          <w:szCs w:val="24"/>
          <w:bdr w:val="none" w:sz="0" w:space="0" w:color="auto" w:frame="1"/>
        </w:rPr>
        <w:t>a course in any modality</w:t>
      </w:r>
      <w:r w:rsidR="002974A3" w:rsidRPr="006D1D42">
        <w:rPr>
          <w:rFonts w:ascii="Times New Roman" w:eastAsia="Times New Roman" w:hAnsi="Times New Roman" w:cs="Times New Roman"/>
          <w:color w:val="000000"/>
          <w:sz w:val="24"/>
          <w:szCs w:val="24"/>
          <w:bdr w:val="none" w:sz="0" w:space="0" w:color="auto" w:frame="1"/>
        </w:rPr>
        <w:t>.</w:t>
      </w:r>
      <w:r w:rsidR="00B26197" w:rsidRPr="006D1D42">
        <w:rPr>
          <w:rFonts w:ascii="Times New Roman" w:eastAsia="Times New Roman" w:hAnsi="Times New Roman" w:cs="Times New Roman"/>
          <w:color w:val="000000"/>
          <w:sz w:val="24"/>
          <w:szCs w:val="24"/>
          <w:bdr w:val="none" w:sz="0" w:space="0" w:color="auto" w:frame="1"/>
        </w:rPr>
        <w:t xml:space="preserve"> St. Francis College does not</w:t>
      </w:r>
      <w:r w:rsidR="00CE76B3" w:rsidRPr="006D1D42">
        <w:rPr>
          <w:rFonts w:ascii="Times New Roman" w:eastAsia="Times New Roman" w:hAnsi="Times New Roman" w:cs="Times New Roman"/>
          <w:color w:val="000000"/>
          <w:sz w:val="24"/>
          <w:szCs w:val="24"/>
          <w:bdr w:val="none" w:sz="0" w:space="0" w:color="auto" w:frame="1"/>
        </w:rPr>
        <w:t xml:space="preserve"> require </w:t>
      </w:r>
      <w:r w:rsidR="00B26197" w:rsidRPr="006D1D42">
        <w:rPr>
          <w:rFonts w:ascii="Times New Roman" w:eastAsia="Times New Roman" w:hAnsi="Times New Roman" w:cs="Times New Roman"/>
          <w:color w:val="000000"/>
          <w:sz w:val="24"/>
          <w:szCs w:val="24"/>
          <w:bdr w:val="none" w:sz="0" w:space="0" w:color="auto" w:frame="1"/>
        </w:rPr>
        <w:t xml:space="preserve">attendance records from </w:t>
      </w:r>
      <w:r w:rsidR="00737688" w:rsidRPr="006D1D42">
        <w:rPr>
          <w:rFonts w:ascii="Times New Roman" w:eastAsia="Times New Roman" w:hAnsi="Times New Roman" w:cs="Times New Roman"/>
          <w:color w:val="000000"/>
          <w:sz w:val="24"/>
          <w:szCs w:val="24"/>
          <w:bdr w:val="none" w:sz="0" w:space="0" w:color="auto" w:frame="1"/>
        </w:rPr>
        <w:t xml:space="preserve">all </w:t>
      </w:r>
      <w:r w:rsidR="00B26197" w:rsidRPr="006D1D42">
        <w:rPr>
          <w:rFonts w:ascii="Times New Roman" w:eastAsia="Times New Roman" w:hAnsi="Times New Roman" w:cs="Times New Roman"/>
          <w:color w:val="000000"/>
          <w:sz w:val="24"/>
          <w:szCs w:val="24"/>
          <w:bdr w:val="none" w:sz="0" w:space="0" w:color="auto" w:frame="1"/>
        </w:rPr>
        <w:t>faculty after the initial verification</w:t>
      </w:r>
      <w:r w:rsidR="002974A3" w:rsidRPr="006D1D42">
        <w:rPr>
          <w:rFonts w:ascii="Times New Roman" w:eastAsia="Times New Roman" w:hAnsi="Times New Roman" w:cs="Times New Roman"/>
          <w:color w:val="000000"/>
          <w:sz w:val="24"/>
          <w:szCs w:val="24"/>
          <w:bdr w:val="none" w:sz="0" w:space="0" w:color="auto" w:frame="1"/>
        </w:rPr>
        <w:t>.</w:t>
      </w:r>
      <w:r w:rsidR="002974A3" w:rsidRPr="006D1D42">
        <w:rPr>
          <w:rStyle w:val="FootnoteReference"/>
          <w:rFonts w:ascii="Times New Roman" w:eastAsia="Times New Roman" w:hAnsi="Times New Roman" w:cs="Times New Roman"/>
          <w:color w:val="000000"/>
          <w:sz w:val="24"/>
          <w:szCs w:val="24"/>
          <w:bdr w:val="none" w:sz="0" w:space="0" w:color="auto" w:frame="1"/>
        </w:rPr>
        <w:footnoteReference w:id="1"/>
      </w:r>
    </w:p>
    <w:p w14:paraId="45E59444" w14:textId="77777777" w:rsidR="002974A3" w:rsidRPr="006D1D42" w:rsidRDefault="002974A3" w:rsidP="002974A3">
      <w:pPr>
        <w:shd w:val="clear" w:color="auto" w:fill="FFFFFF"/>
        <w:spacing w:after="0" w:line="240" w:lineRule="auto"/>
        <w:contextualSpacing/>
        <w:jc w:val="both"/>
        <w:rPr>
          <w:rFonts w:ascii="Times New Roman" w:eastAsia="Times New Roman" w:hAnsi="Times New Roman" w:cs="Times New Roman"/>
          <w:color w:val="000000"/>
          <w:sz w:val="24"/>
          <w:szCs w:val="24"/>
          <w:bdr w:val="none" w:sz="0" w:space="0" w:color="auto" w:frame="1"/>
        </w:rPr>
      </w:pPr>
    </w:p>
    <w:p w14:paraId="05E4326C" w14:textId="5A7541DC" w:rsidR="002974A3" w:rsidRPr="006D1D42" w:rsidRDefault="002974A3" w:rsidP="002974A3">
      <w:pPr>
        <w:shd w:val="clear" w:color="auto" w:fill="FFFFFF"/>
        <w:spacing w:after="0" w:line="240" w:lineRule="auto"/>
        <w:contextualSpacing/>
        <w:jc w:val="both"/>
        <w:rPr>
          <w:rFonts w:ascii="Times New Roman" w:eastAsia="Times New Roman" w:hAnsi="Times New Roman" w:cs="Times New Roman"/>
          <w:color w:val="000000"/>
          <w:sz w:val="24"/>
          <w:szCs w:val="24"/>
          <w:bdr w:val="none" w:sz="0" w:space="0" w:color="auto" w:frame="1"/>
        </w:rPr>
      </w:pPr>
      <w:r w:rsidRPr="006D1D42">
        <w:rPr>
          <w:rFonts w:ascii="Times New Roman" w:eastAsia="Times New Roman" w:hAnsi="Times New Roman" w:cs="Times New Roman"/>
          <w:color w:val="000000"/>
          <w:sz w:val="24"/>
          <w:szCs w:val="24"/>
          <w:bdr w:val="none" w:sz="0" w:space="0" w:color="auto" w:frame="1"/>
        </w:rPr>
        <w:t>Faculty members can establish in-class attendance guidelines based on the nature of the course requirements</w:t>
      </w:r>
      <w:r w:rsidR="002566B8">
        <w:rPr>
          <w:rFonts w:ascii="Times New Roman" w:eastAsia="Times New Roman" w:hAnsi="Times New Roman" w:cs="Times New Roman"/>
          <w:color w:val="000000"/>
          <w:sz w:val="24"/>
          <w:szCs w:val="24"/>
          <w:bdr w:val="none" w:sz="0" w:space="0" w:color="auto" w:frame="1"/>
        </w:rPr>
        <w:t>,</w:t>
      </w:r>
      <w:r w:rsidRPr="006D1D42">
        <w:rPr>
          <w:rFonts w:ascii="Times New Roman" w:eastAsia="Times New Roman" w:hAnsi="Times New Roman" w:cs="Times New Roman"/>
          <w:color w:val="000000"/>
          <w:sz w:val="24"/>
          <w:szCs w:val="24"/>
          <w:bdr w:val="none" w:sz="0" w:space="0" w:color="auto" w:frame="1"/>
        </w:rPr>
        <w:t xml:space="preserve"> and those requirements </w:t>
      </w:r>
      <w:r w:rsidR="00BA6BA7">
        <w:rPr>
          <w:rFonts w:ascii="Times New Roman" w:eastAsia="Times New Roman" w:hAnsi="Times New Roman" w:cs="Times New Roman"/>
          <w:color w:val="000000"/>
          <w:sz w:val="24"/>
          <w:szCs w:val="24"/>
          <w:bdr w:val="none" w:sz="0" w:space="0" w:color="auto" w:frame="1"/>
        </w:rPr>
        <w:t>are</w:t>
      </w:r>
      <w:r w:rsidRPr="006D1D42">
        <w:rPr>
          <w:rFonts w:ascii="Times New Roman" w:eastAsia="Times New Roman" w:hAnsi="Times New Roman" w:cs="Times New Roman"/>
          <w:color w:val="000000"/>
          <w:sz w:val="24"/>
          <w:szCs w:val="24"/>
          <w:bdr w:val="none" w:sz="0" w:space="0" w:color="auto" w:frame="1"/>
        </w:rPr>
        <w:t xml:space="preserve"> outlined in the course syllabus. </w:t>
      </w:r>
      <w:r w:rsidR="00BA6BA7">
        <w:rPr>
          <w:rFonts w:ascii="Times New Roman" w:eastAsia="Times New Roman" w:hAnsi="Times New Roman" w:cs="Times New Roman"/>
          <w:color w:val="000000"/>
          <w:sz w:val="24"/>
          <w:szCs w:val="24"/>
          <w:bdr w:val="none" w:sz="0" w:space="0" w:color="auto" w:frame="1"/>
        </w:rPr>
        <w:t>I</w:t>
      </w:r>
      <w:r w:rsidRPr="006D1D42">
        <w:rPr>
          <w:rFonts w:ascii="Times New Roman" w:eastAsia="Times New Roman" w:hAnsi="Times New Roman" w:cs="Times New Roman"/>
          <w:color w:val="000000"/>
          <w:sz w:val="24"/>
          <w:szCs w:val="24"/>
          <w:bdr w:val="none" w:sz="0" w:space="0" w:color="auto" w:frame="1"/>
        </w:rPr>
        <w:t>t is the student’s responsibility to complete course requirements as outlined in the course syllabus and to demonstrate active engagement</w:t>
      </w:r>
      <w:r w:rsidR="00BD5639">
        <w:rPr>
          <w:rFonts w:ascii="Times New Roman" w:eastAsia="Times New Roman" w:hAnsi="Times New Roman" w:cs="Times New Roman"/>
          <w:color w:val="000000"/>
          <w:sz w:val="24"/>
          <w:szCs w:val="24"/>
          <w:bdr w:val="none" w:sz="0" w:space="0" w:color="auto" w:frame="1"/>
        </w:rPr>
        <w:t>:</w:t>
      </w:r>
      <w:r w:rsidRPr="006D1D42">
        <w:rPr>
          <w:rFonts w:ascii="Times New Roman" w:eastAsia="Times New Roman" w:hAnsi="Times New Roman" w:cs="Times New Roman"/>
          <w:color w:val="000000"/>
          <w:sz w:val="24"/>
          <w:szCs w:val="24"/>
          <w:bdr w:val="none" w:sz="0" w:space="0" w:color="auto" w:frame="1"/>
        </w:rPr>
        <w:t xml:space="preserve"> completing course requirements, engaging with labs and group work, regularly logging into </w:t>
      </w:r>
      <w:r w:rsidR="00BA6BA7">
        <w:rPr>
          <w:rFonts w:ascii="Times New Roman" w:eastAsia="Times New Roman" w:hAnsi="Times New Roman" w:cs="Times New Roman"/>
          <w:color w:val="000000"/>
          <w:sz w:val="24"/>
          <w:szCs w:val="24"/>
          <w:bdr w:val="none" w:sz="0" w:space="0" w:color="auto" w:frame="1"/>
        </w:rPr>
        <w:t>the College’s system</w:t>
      </w:r>
      <w:r w:rsidRPr="006D1D42">
        <w:rPr>
          <w:rFonts w:ascii="Times New Roman" w:eastAsia="Times New Roman" w:hAnsi="Times New Roman" w:cs="Times New Roman"/>
          <w:color w:val="000000"/>
          <w:sz w:val="24"/>
          <w:szCs w:val="24"/>
          <w:bdr w:val="none" w:sz="0" w:space="0" w:color="auto" w:frame="1"/>
        </w:rPr>
        <w:t>, participating in course discussions and reviewing materials provided in all class formats (synchronous, asynchronous, on-line, or in person), as applicable. </w:t>
      </w:r>
    </w:p>
    <w:p w14:paraId="32C7604F" w14:textId="28A6A1C6" w:rsidR="002974A3" w:rsidRPr="006D1D42" w:rsidRDefault="002974A3" w:rsidP="00F83AC4">
      <w:pPr>
        <w:shd w:val="clear" w:color="auto" w:fill="FFFFFF"/>
        <w:spacing w:after="0" w:line="240" w:lineRule="auto"/>
        <w:contextualSpacing/>
        <w:jc w:val="both"/>
        <w:rPr>
          <w:rFonts w:ascii="Times New Roman" w:hAnsi="Times New Roman" w:cs="Times New Roman"/>
          <w:color w:val="000000"/>
          <w:sz w:val="24"/>
          <w:szCs w:val="24"/>
        </w:rPr>
      </w:pPr>
    </w:p>
    <w:p w14:paraId="4349DCB0" w14:textId="3C39AF2A" w:rsidR="005B50F9" w:rsidRPr="006D1D42" w:rsidRDefault="002974A3" w:rsidP="00F83AC4">
      <w:pPr>
        <w:pStyle w:val="Default"/>
        <w:contextualSpacing/>
        <w:jc w:val="both"/>
        <w:rPr>
          <w:rStyle w:val="Hyperlink"/>
          <w:rFonts w:ascii="Times New Roman" w:hAnsi="Times New Roman" w:cs="Times New Roman"/>
          <w:bCs/>
          <w:color w:val="auto"/>
          <w:u w:val="none"/>
        </w:rPr>
      </w:pPr>
      <w:r w:rsidRPr="006D1D42">
        <w:rPr>
          <w:rFonts w:ascii="Times New Roman" w:hAnsi="Times New Roman" w:cs="Times New Roman"/>
        </w:rPr>
        <w:t xml:space="preserve">If </w:t>
      </w:r>
      <w:r w:rsidR="00737688" w:rsidRPr="006D1D42">
        <w:rPr>
          <w:rFonts w:ascii="Times New Roman" w:hAnsi="Times New Roman" w:cs="Times New Roman"/>
        </w:rPr>
        <w:t>course</w:t>
      </w:r>
      <w:r w:rsidRPr="006D1D42">
        <w:rPr>
          <w:rFonts w:ascii="Times New Roman" w:hAnsi="Times New Roman" w:cs="Times New Roman"/>
        </w:rPr>
        <w:t xml:space="preserve"> engagement is impacted due to any acute or chronic illness, students can directly request </w:t>
      </w:r>
      <w:r w:rsidR="00BA6BA7">
        <w:rPr>
          <w:rFonts w:ascii="Times New Roman" w:hAnsi="Times New Roman" w:cs="Times New Roman"/>
          <w:color w:val="auto"/>
        </w:rPr>
        <w:t>assistance</w:t>
      </w:r>
      <w:r w:rsidR="00F54073" w:rsidRPr="006D1D42">
        <w:rPr>
          <w:rFonts w:ascii="Times New Roman" w:hAnsi="Times New Roman" w:cs="Times New Roman"/>
          <w:color w:val="auto"/>
        </w:rPr>
        <w:t xml:space="preserve"> </w:t>
      </w:r>
      <w:r w:rsidRPr="006D1D42">
        <w:rPr>
          <w:rFonts w:ascii="Times New Roman" w:hAnsi="Times New Roman" w:cs="Times New Roman"/>
          <w:color w:val="auto"/>
        </w:rPr>
        <w:t xml:space="preserve">by submitting a statement and supporting documentation to </w:t>
      </w:r>
      <w:hyperlink r:id="rId12" w:history="1">
        <w:r w:rsidRPr="005B50F9">
          <w:rPr>
            <w:rStyle w:val="Hyperlink"/>
            <w:rFonts w:ascii="Times New Roman" w:hAnsi="Times New Roman" w:cs="Times New Roman"/>
            <w:bCs/>
          </w:rPr>
          <w:t>Accommodate</w:t>
        </w:r>
      </w:hyperlink>
      <w:r w:rsidRPr="006D1D42">
        <w:rPr>
          <w:rFonts w:ascii="Times New Roman" w:hAnsi="Times New Roman" w:cs="Times New Roman"/>
          <w:bCs/>
          <w:color w:val="auto"/>
        </w:rPr>
        <w:t xml:space="preserve">. </w:t>
      </w:r>
      <w:r w:rsidRPr="006D1D42">
        <w:rPr>
          <w:rFonts w:ascii="Times New Roman" w:hAnsi="Times New Roman" w:cs="Times New Roman"/>
          <w:color w:val="auto"/>
        </w:rPr>
        <w:t xml:space="preserve">The Accessibility and Accommodations </w:t>
      </w:r>
      <w:r w:rsidR="00BA6BA7">
        <w:rPr>
          <w:rFonts w:ascii="Times New Roman" w:hAnsi="Times New Roman" w:cs="Times New Roman"/>
          <w:color w:val="auto"/>
        </w:rPr>
        <w:t>O</w:t>
      </w:r>
      <w:r w:rsidRPr="006D1D42">
        <w:rPr>
          <w:rFonts w:ascii="Times New Roman" w:hAnsi="Times New Roman" w:cs="Times New Roman"/>
          <w:color w:val="auto"/>
        </w:rPr>
        <w:t xml:space="preserve">ffice will </w:t>
      </w:r>
      <w:r w:rsidR="00BA6BA7">
        <w:rPr>
          <w:rFonts w:ascii="Times New Roman" w:hAnsi="Times New Roman" w:cs="Times New Roman"/>
          <w:color w:val="auto"/>
        </w:rPr>
        <w:t>evaluate</w:t>
      </w:r>
      <w:r w:rsidRPr="006D1D42">
        <w:rPr>
          <w:rFonts w:ascii="Times New Roman" w:hAnsi="Times New Roman" w:cs="Times New Roman"/>
          <w:color w:val="auto"/>
        </w:rPr>
        <w:t xml:space="preserve"> </w:t>
      </w:r>
      <w:r w:rsidRPr="006D1D42">
        <w:rPr>
          <w:rFonts w:ascii="Times New Roman" w:hAnsi="Times New Roman" w:cs="Times New Roman"/>
        </w:rPr>
        <w:t xml:space="preserve">possible </w:t>
      </w:r>
      <w:r w:rsidRPr="006D1D42">
        <w:rPr>
          <w:rFonts w:ascii="Times New Roman" w:hAnsi="Times New Roman" w:cs="Times New Roman"/>
          <w:color w:val="auto"/>
        </w:rPr>
        <w:t xml:space="preserve">accommodations and support. </w:t>
      </w:r>
      <w:r w:rsidR="00BA6BA7">
        <w:rPr>
          <w:rFonts w:ascii="Times New Roman" w:hAnsi="Times New Roman" w:cs="Times New Roman"/>
          <w:color w:val="auto"/>
        </w:rPr>
        <w:t xml:space="preserve">To contact the </w:t>
      </w:r>
      <w:r w:rsidR="00BA6BA7" w:rsidRPr="006D1D42">
        <w:rPr>
          <w:rFonts w:ascii="Times New Roman" w:hAnsi="Times New Roman" w:cs="Times New Roman"/>
          <w:color w:val="auto"/>
        </w:rPr>
        <w:t xml:space="preserve">Accessibility and Accommodations </w:t>
      </w:r>
      <w:r w:rsidR="00BA6BA7">
        <w:rPr>
          <w:rFonts w:ascii="Times New Roman" w:hAnsi="Times New Roman" w:cs="Times New Roman"/>
          <w:color w:val="auto"/>
        </w:rPr>
        <w:t>O</w:t>
      </w:r>
      <w:r w:rsidR="00BA6BA7" w:rsidRPr="006D1D42">
        <w:rPr>
          <w:rFonts w:ascii="Times New Roman" w:hAnsi="Times New Roman" w:cs="Times New Roman"/>
          <w:color w:val="auto"/>
        </w:rPr>
        <w:t>ffice</w:t>
      </w:r>
      <w:r w:rsidR="00BA6BA7">
        <w:rPr>
          <w:rFonts w:ascii="Times New Roman" w:hAnsi="Times New Roman" w:cs="Times New Roman"/>
          <w:color w:val="auto"/>
        </w:rPr>
        <w:t xml:space="preserve"> directly, please</w:t>
      </w:r>
      <w:r w:rsidRPr="006D1D42">
        <w:rPr>
          <w:rFonts w:ascii="Times New Roman" w:hAnsi="Times New Roman" w:cs="Times New Roman"/>
          <w:color w:val="auto"/>
        </w:rPr>
        <w:t xml:space="preserve"> email </w:t>
      </w:r>
      <w:hyperlink r:id="rId13" w:history="1">
        <w:r w:rsidRPr="006D1D42">
          <w:rPr>
            <w:rStyle w:val="Hyperlink"/>
            <w:rFonts w:ascii="Times New Roman" w:hAnsi="Times New Roman" w:cs="Times New Roman"/>
            <w:bCs/>
            <w:color w:val="auto"/>
            <w:u w:val="none"/>
          </w:rPr>
          <w:t>oaa@sfc.edu</w:t>
        </w:r>
      </w:hyperlink>
      <w:r w:rsidR="005B50F9">
        <w:rPr>
          <w:rStyle w:val="Hyperlink"/>
          <w:rFonts w:ascii="Times New Roman" w:hAnsi="Times New Roman" w:cs="Times New Roman"/>
          <w:bCs/>
          <w:color w:val="auto"/>
          <w:u w:val="none"/>
        </w:rPr>
        <w:t>.</w:t>
      </w:r>
    </w:p>
    <w:p w14:paraId="2A897DFE" w14:textId="77B34D1D" w:rsidR="00BD6034" w:rsidRPr="006D1D42" w:rsidRDefault="00BD6034" w:rsidP="00F83AC4">
      <w:pPr>
        <w:pStyle w:val="Default"/>
        <w:contextualSpacing/>
        <w:jc w:val="both"/>
        <w:rPr>
          <w:rFonts w:ascii="Times New Roman" w:hAnsi="Times New Roman" w:cs="Times New Roman"/>
        </w:rPr>
      </w:pPr>
    </w:p>
    <w:tbl>
      <w:tblPr>
        <w:tblStyle w:val="TableGrid"/>
        <w:tblW w:w="0" w:type="auto"/>
        <w:shd w:val="clear" w:color="auto" w:fill="F2F2F2" w:themeFill="background1" w:themeFillShade="F2"/>
        <w:tblLook w:val="04A0" w:firstRow="1" w:lastRow="0" w:firstColumn="1" w:lastColumn="0" w:noHBand="0" w:noVBand="1"/>
      </w:tblPr>
      <w:tblGrid>
        <w:gridCol w:w="9350"/>
      </w:tblGrid>
      <w:tr w:rsidR="00BD6034" w:rsidRPr="006D1D42" w14:paraId="1AB032B0" w14:textId="77777777" w:rsidTr="00425F15">
        <w:tc>
          <w:tcPr>
            <w:tcW w:w="9350" w:type="dxa"/>
            <w:shd w:val="clear" w:color="auto" w:fill="F2F2F2" w:themeFill="background1" w:themeFillShade="F2"/>
          </w:tcPr>
          <w:p w14:paraId="539F208A" w14:textId="2DC491D9" w:rsidR="00BD6034" w:rsidRPr="006D1D42" w:rsidRDefault="00F73171" w:rsidP="00BD6034">
            <w:pPr>
              <w:contextualSpacing/>
              <w:jc w:val="center"/>
              <w:rPr>
                <w:rFonts w:ascii="Times New Roman" w:hAnsi="Times New Roman" w:cs="Times New Roman"/>
                <w:b/>
                <w:sz w:val="24"/>
                <w:szCs w:val="24"/>
              </w:rPr>
            </w:pPr>
            <w:r w:rsidRPr="006D1D42">
              <w:rPr>
                <w:rFonts w:ascii="Times New Roman" w:hAnsi="Times New Roman" w:cs="Times New Roman"/>
                <w:b/>
                <w:sz w:val="24"/>
                <w:szCs w:val="24"/>
              </w:rPr>
              <w:t xml:space="preserve">Initial </w:t>
            </w:r>
            <w:r w:rsidR="005069E2" w:rsidRPr="006D1D42">
              <w:rPr>
                <w:rFonts w:ascii="Times New Roman" w:hAnsi="Times New Roman" w:cs="Times New Roman"/>
                <w:b/>
                <w:sz w:val="24"/>
                <w:szCs w:val="24"/>
              </w:rPr>
              <w:t xml:space="preserve">Enrollment </w:t>
            </w:r>
            <w:r w:rsidRPr="006D1D42">
              <w:rPr>
                <w:rFonts w:ascii="Times New Roman" w:hAnsi="Times New Roman" w:cs="Times New Roman"/>
                <w:b/>
                <w:sz w:val="24"/>
                <w:szCs w:val="24"/>
              </w:rPr>
              <w:t xml:space="preserve">Verification of </w:t>
            </w:r>
            <w:r w:rsidR="00ED5E55" w:rsidRPr="006D1D42">
              <w:rPr>
                <w:rFonts w:ascii="Times New Roman" w:hAnsi="Times New Roman" w:cs="Times New Roman"/>
                <w:b/>
                <w:sz w:val="24"/>
                <w:szCs w:val="24"/>
              </w:rPr>
              <w:t>Student Activity in a Courses</w:t>
            </w:r>
          </w:p>
        </w:tc>
      </w:tr>
    </w:tbl>
    <w:p w14:paraId="74955AA2" w14:textId="77777777" w:rsidR="00BD6034" w:rsidRPr="006D1D42" w:rsidRDefault="00BD6034" w:rsidP="00BD6034">
      <w:pPr>
        <w:spacing w:after="0" w:line="240" w:lineRule="auto"/>
        <w:contextualSpacing/>
        <w:jc w:val="both"/>
        <w:rPr>
          <w:rFonts w:ascii="Times New Roman" w:eastAsia="Times New Roman" w:hAnsi="Times New Roman" w:cs="Times New Roman"/>
          <w:sz w:val="24"/>
          <w:szCs w:val="24"/>
        </w:rPr>
      </w:pPr>
    </w:p>
    <w:p w14:paraId="20C2EABF" w14:textId="40DF2D5F" w:rsidR="00BD6034" w:rsidRPr="006D1D42" w:rsidRDefault="00F73171" w:rsidP="00BD6034">
      <w:pPr>
        <w:spacing w:after="0" w:line="240" w:lineRule="auto"/>
        <w:contextualSpacing/>
        <w:jc w:val="both"/>
        <w:rPr>
          <w:rFonts w:ascii="Times New Roman" w:eastAsia="Times New Roman" w:hAnsi="Times New Roman" w:cs="Times New Roman"/>
          <w:b/>
          <w:sz w:val="24"/>
          <w:szCs w:val="24"/>
        </w:rPr>
      </w:pPr>
      <w:r w:rsidRPr="006D1D42">
        <w:rPr>
          <w:rFonts w:ascii="Times New Roman" w:eastAsia="Times New Roman" w:hAnsi="Times New Roman" w:cs="Times New Roman"/>
          <w:sz w:val="24"/>
          <w:szCs w:val="24"/>
        </w:rPr>
        <w:t xml:space="preserve">While </w:t>
      </w:r>
      <w:r w:rsidR="00CE76B3" w:rsidRPr="006D1D42">
        <w:rPr>
          <w:rFonts w:ascii="Times New Roman" w:eastAsia="Times New Roman" w:hAnsi="Times New Roman" w:cs="Times New Roman"/>
          <w:sz w:val="24"/>
          <w:szCs w:val="24"/>
        </w:rPr>
        <w:t xml:space="preserve">semester-long </w:t>
      </w:r>
      <w:r w:rsidR="00995529" w:rsidRPr="006D1D42">
        <w:rPr>
          <w:rFonts w:ascii="Times New Roman" w:eastAsia="Times New Roman" w:hAnsi="Times New Roman" w:cs="Times New Roman"/>
          <w:sz w:val="24"/>
          <w:szCs w:val="24"/>
        </w:rPr>
        <w:t xml:space="preserve">attendance records are not </w:t>
      </w:r>
      <w:r w:rsidR="00CE76B3" w:rsidRPr="006D1D42">
        <w:rPr>
          <w:rFonts w:ascii="Times New Roman" w:eastAsia="Times New Roman" w:hAnsi="Times New Roman" w:cs="Times New Roman"/>
          <w:sz w:val="24"/>
          <w:szCs w:val="24"/>
        </w:rPr>
        <w:t>required</w:t>
      </w:r>
      <w:r w:rsidR="00995529" w:rsidRPr="006D1D42">
        <w:rPr>
          <w:rFonts w:ascii="Times New Roman" w:eastAsia="Times New Roman" w:hAnsi="Times New Roman" w:cs="Times New Roman"/>
          <w:sz w:val="24"/>
          <w:szCs w:val="24"/>
        </w:rPr>
        <w:t xml:space="preserve"> from the faculty nor collected by the College administration, faculty </w:t>
      </w:r>
      <w:r w:rsidR="00BA6BA7">
        <w:rPr>
          <w:rFonts w:ascii="Times New Roman" w:eastAsia="Times New Roman" w:hAnsi="Times New Roman" w:cs="Times New Roman"/>
          <w:sz w:val="24"/>
          <w:szCs w:val="24"/>
        </w:rPr>
        <w:t xml:space="preserve">will </w:t>
      </w:r>
      <w:r w:rsidR="00995529" w:rsidRPr="006D1D42">
        <w:rPr>
          <w:rFonts w:ascii="Times New Roman" w:eastAsia="Times New Roman" w:hAnsi="Times New Roman" w:cs="Times New Roman"/>
          <w:sz w:val="24"/>
          <w:szCs w:val="24"/>
        </w:rPr>
        <w:t xml:space="preserve">perform an initial verification of student attendance. At the beginning of each semester, following the add/drop period, faculty </w:t>
      </w:r>
      <w:r w:rsidR="00BA6BA7">
        <w:rPr>
          <w:rFonts w:ascii="Times New Roman" w:eastAsia="Times New Roman" w:hAnsi="Times New Roman" w:cs="Times New Roman"/>
          <w:sz w:val="24"/>
          <w:szCs w:val="24"/>
        </w:rPr>
        <w:t>are</w:t>
      </w:r>
      <w:r w:rsidR="00995529" w:rsidRPr="006D1D42">
        <w:rPr>
          <w:rFonts w:ascii="Times New Roman" w:eastAsia="Times New Roman" w:hAnsi="Times New Roman" w:cs="Times New Roman"/>
          <w:sz w:val="24"/>
          <w:szCs w:val="24"/>
        </w:rPr>
        <w:t xml:space="preserve"> sent a request to verify </w:t>
      </w:r>
      <w:r w:rsidR="00ED5E55" w:rsidRPr="006D1D42">
        <w:rPr>
          <w:rFonts w:ascii="Times New Roman" w:eastAsia="Times New Roman" w:hAnsi="Times New Roman" w:cs="Times New Roman"/>
          <w:sz w:val="24"/>
          <w:szCs w:val="24"/>
        </w:rPr>
        <w:t>course activity</w:t>
      </w:r>
      <w:r w:rsidR="00995529" w:rsidRPr="006D1D42">
        <w:rPr>
          <w:rFonts w:ascii="Times New Roman" w:eastAsia="Times New Roman" w:hAnsi="Times New Roman" w:cs="Times New Roman"/>
          <w:sz w:val="24"/>
          <w:szCs w:val="24"/>
        </w:rPr>
        <w:t xml:space="preserve"> of students in their class</w:t>
      </w:r>
      <w:r w:rsidR="005A5AF1" w:rsidRPr="006D1D42">
        <w:rPr>
          <w:rFonts w:ascii="Times New Roman" w:eastAsia="Times New Roman" w:hAnsi="Times New Roman" w:cs="Times New Roman"/>
          <w:sz w:val="24"/>
          <w:szCs w:val="24"/>
        </w:rPr>
        <w:t>es</w:t>
      </w:r>
      <w:r w:rsidR="00995529" w:rsidRPr="006D1D42">
        <w:rPr>
          <w:rFonts w:ascii="Times New Roman" w:eastAsia="Times New Roman" w:hAnsi="Times New Roman" w:cs="Times New Roman"/>
          <w:sz w:val="24"/>
          <w:szCs w:val="24"/>
        </w:rPr>
        <w:t xml:space="preserve">. For a fully in-person class, this </w:t>
      </w:r>
      <w:r w:rsidR="00BA6BA7">
        <w:rPr>
          <w:rFonts w:ascii="Times New Roman" w:eastAsia="Times New Roman" w:hAnsi="Times New Roman" w:cs="Times New Roman"/>
          <w:sz w:val="24"/>
          <w:szCs w:val="24"/>
        </w:rPr>
        <w:t>confirms</w:t>
      </w:r>
      <w:r w:rsidR="00995529" w:rsidRPr="006D1D42">
        <w:rPr>
          <w:rFonts w:ascii="Times New Roman" w:eastAsia="Times New Roman" w:hAnsi="Times New Roman" w:cs="Times New Roman"/>
          <w:sz w:val="24"/>
          <w:szCs w:val="24"/>
        </w:rPr>
        <w:t xml:space="preserve"> that a student has attended at least one class. For a hybrid class, this </w:t>
      </w:r>
      <w:r w:rsidR="00BA6BA7">
        <w:rPr>
          <w:rFonts w:ascii="Times New Roman" w:eastAsia="Times New Roman" w:hAnsi="Times New Roman" w:cs="Times New Roman"/>
          <w:sz w:val="24"/>
          <w:szCs w:val="24"/>
        </w:rPr>
        <w:t>confirms</w:t>
      </w:r>
      <w:r w:rsidR="00995529" w:rsidRPr="006D1D42">
        <w:rPr>
          <w:rFonts w:ascii="Times New Roman" w:eastAsia="Times New Roman" w:hAnsi="Times New Roman" w:cs="Times New Roman"/>
          <w:sz w:val="24"/>
          <w:szCs w:val="24"/>
        </w:rPr>
        <w:t xml:space="preserve"> that a student has either attended </w:t>
      </w:r>
      <w:r w:rsidR="00410D19" w:rsidRPr="006D1D42">
        <w:rPr>
          <w:rFonts w:ascii="Times New Roman" w:eastAsia="Times New Roman" w:hAnsi="Times New Roman" w:cs="Times New Roman"/>
          <w:sz w:val="24"/>
          <w:szCs w:val="24"/>
        </w:rPr>
        <w:t>at least one</w:t>
      </w:r>
      <w:r w:rsidR="00995529" w:rsidRPr="006D1D42">
        <w:rPr>
          <w:rFonts w:ascii="Times New Roman" w:eastAsia="Times New Roman" w:hAnsi="Times New Roman" w:cs="Times New Roman"/>
          <w:sz w:val="24"/>
          <w:szCs w:val="24"/>
        </w:rPr>
        <w:t xml:space="preserve"> in-person modality, or has </w:t>
      </w:r>
      <w:r w:rsidR="00410D19" w:rsidRPr="006D1D42">
        <w:rPr>
          <w:rFonts w:ascii="Times New Roman" w:eastAsia="Times New Roman" w:hAnsi="Times New Roman" w:cs="Times New Roman"/>
          <w:sz w:val="24"/>
          <w:szCs w:val="24"/>
        </w:rPr>
        <w:t>activity</w:t>
      </w:r>
      <w:r w:rsidR="00995529" w:rsidRPr="006D1D42">
        <w:rPr>
          <w:rFonts w:ascii="Times New Roman" w:eastAsia="Times New Roman" w:hAnsi="Times New Roman" w:cs="Times New Roman"/>
          <w:sz w:val="24"/>
          <w:szCs w:val="24"/>
        </w:rPr>
        <w:t xml:space="preserve"> in the online modality. For a fully online class, this </w:t>
      </w:r>
      <w:r w:rsidR="00BA6BA7">
        <w:rPr>
          <w:rFonts w:ascii="Times New Roman" w:eastAsia="Times New Roman" w:hAnsi="Times New Roman" w:cs="Times New Roman"/>
          <w:sz w:val="24"/>
          <w:szCs w:val="24"/>
        </w:rPr>
        <w:t>confirms</w:t>
      </w:r>
      <w:r w:rsidR="00995529" w:rsidRPr="006D1D42">
        <w:rPr>
          <w:rFonts w:ascii="Times New Roman" w:eastAsia="Times New Roman" w:hAnsi="Times New Roman" w:cs="Times New Roman"/>
          <w:sz w:val="24"/>
          <w:szCs w:val="24"/>
        </w:rPr>
        <w:t xml:space="preserve"> that a student has </w:t>
      </w:r>
      <w:r w:rsidR="00E77D8C" w:rsidRPr="006D1D42">
        <w:rPr>
          <w:rFonts w:ascii="Times New Roman" w:eastAsia="Times New Roman" w:hAnsi="Times New Roman" w:cs="Times New Roman"/>
          <w:sz w:val="24"/>
          <w:szCs w:val="24"/>
        </w:rPr>
        <w:t>been active in the course.</w:t>
      </w:r>
      <w:r w:rsidR="00650F74" w:rsidRPr="006D1D42">
        <w:rPr>
          <w:rFonts w:ascii="Times New Roman" w:eastAsia="Times New Roman" w:hAnsi="Times New Roman" w:cs="Times New Roman"/>
          <w:sz w:val="24"/>
          <w:szCs w:val="24"/>
        </w:rPr>
        <w:t xml:space="preserve"> </w:t>
      </w:r>
      <w:r w:rsidR="00207C29" w:rsidRPr="006D1D42">
        <w:rPr>
          <w:rFonts w:ascii="Times New Roman" w:eastAsia="Times New Roman" w:hAnsi="Times New Roman" w:cs="Times New Roman"/>
          <w:sz w:val="24"/>
          <w:szCs w:val="24"/>
        </w:rPr>
        <w:t>During the enrollment verification period, faculty will record the attendance/non-attendance of their students in one of the College’s systems</w:t>
      </w:r>
      <w:r w:rsidR="00F54073" w:rsidRPr="006D1D42">
        <w:rPr>
          <w:rFonts w:ascii="Times New Roman" w:eastAsia="Times New Roman" w:hAnsi="Times New Roman" w:cs="Times New Roman"/>
          <w:sz w:val="24"/>
          <w:szCs w:val="24"/>
        </w:rPr>
        <w:t>.</w:t>
      </w:r>
    </w:p>
    <w:p w14:paraId="56EF5886" w14:textId="3723E180" w:rsidR="00F76DBF" w:rsidRPr="006D1D42" w:rsidRDefault="00F76DBF" w:rsidP="00BD6034">
      <w:pPr>
        <w:spacing w:after="0" w:line="240" w:lineRule="auto"/>
        <w:contextualSpacing/>
        <w:jc w:val="both"/>
        <w:rPr>
          <w:rFonts w:ascii="Times New Roman" w:eastAsia="Times New Roman" w:hAnsi="Times New Roman" w:cs="Times New Roman"/>
          <w:sz w:val="24"/>
          <w:szCs w:val="24"/>
        </w:rPr>
      </w:pPr>
    </w:p>
    <w:p w14:paraId="539D0213" w14:textId="05EDB489" w:rsidR="008A48A8" w:rsidRPr="006D1D42" w:rsidRDefault="00F76DBF" w:rsidP="00BD6034">
      <w:pPr>
        <w:spacing w:after="0" w:line="240" w:lineRule="auto"/>
        <w:contextualSpacing/>
        <w:jc w:val="both"/>
        <w:rPr>
          <w:rFonts w:ascii="Times New Roman" w:eastAsia="Times New Roman" w:hAnsi="Times New Roman" w:cs="Times New Roman"/>
          <w:sz w:val="24"/>
          <w:szCs w:val="24"/>
        </w:rPr>
      </w:pPr>
      <w:r w:rsidRPr="006D1D42">
        <w:rPr>
          <w:rFonts w:ascii="Times New Roman" w:eastAsia="Times New Roman" w:hAnsi="Times New Roman" w:cs="Times New Roman"/>
          <w:sz w:val="24"/>
          <w:szCs w:val="24"/>
        </w:rPr>
        <w:t xml:space="preserve">If a faculty member is unable to verify the attendance of a student through either in-person attendance or online activity, that faculty member </w:t>
      </w:r>
      <w:r w:rsidR="00BA6BA7">
        <w:rPr>
          <w:rFonts w:ascii="Times New Roman" w:eastAsia="Times New Roman" w:hAnsi="Times New Roman" w:cs="Times New Roman"/>
          <w:sz w:val="24"/>
          <w:szCs w:val="24"/>
        </w:rPr>
        <w:t>will</w:t>
      </w:r>
      <w:r w:rsidRPr="006D1D42">
        <w:rPr>
          <w:rFonts w:ascii="Times New Roman" w:eastAsia="Times New Roman" w:hAnsi="Times New Roman" w:cs="Times New Roman"/>
          <w:sz w:val="24"/>
          <w:szCs w:val="24"/>
        </w:rPr>
        <w:t xml:space="preserve"> report the student’s non-attendance through </w:t>
      </w:r>
      <w:r w:rsidR="001B7104" w:rsidRPr="006D1D42">
        <w:rPr>
          <w:rFonts w:ascii="Times New Roman" w:eastAsia="Times New Roman" w:hAnsi="Times New Roman" w:cs="Times New Roman"/>
          <w:sz w:val="24"/>
          <w:szCs w:val="24"/>
        </w:rPr>
        <w:t>the verification system</w:t>
      </w:r>
      <w:r w:rsidRPr="006D1D42">
        <w:rPr>
          <w:rFonts w:ascii="Times New Roman" w:eastAsia="Times New Roman" w:hAnsi="Times New Roman" w:cs="Times New Roman"/>
          <w:sz w:val="24"/>
          <w:szCs w:val="24"/>
        </w:rPr>
        <w:t xml:space="preserve"> at the start of the semester.</w:t>
      </w:r>
    </w:p>
    <w:p w14:paraId="23D9A175" w14:textId="77777777" w:rsidR="008A48A8" w:rsidRPr="006D1D42" w:rsidRDefault="008A48A8" w:rsidP="008A48A8">
      <w:pPr>
        <w:spacing w:after="0" w:line="240" w:lineRule="auto"/>
        <w:contextualSpacing/>
        <w:jc w:val="both"/>
        <w:rPr>
          <w:rFonts w:ascii="Times New Roman" w:eastAsia="Times New Roman" w:hAnsi="Times New Roman" w:cs="Times New Roman"/>
          <w:sz w:val="24"/>
          <w:szCs w:val="24"/>
        </w:rPr>
      </w:pPr>
    </w:p>
    <w:tbl>
      <w:tblPr>
        <w:tblStyle w:val="TableGrid"/>
        <w:tblW w:w="0" w:type="auto"/>
        <w:shd w:val="clear" w:color="auto" w:fill="F2F2F2" w:themeFill="background1" w:themeFillShade="F2"/>
        <w:tblLook w:val="04A0" w:firstRow="1" w:lastRow="0" w:firstColumn="1" w:lastColumn="0" w:noHBand="0" w:noVBand="1"/>
      </w:tblPr>
      <w:tblGrid>
        <w:gridCol w:w="9350"/>
      </w:tblGrid>
      <w:tr w:rsidR="008A48A8" w:rsidRPr="006D1D42" w14:paraId="679A2E14" w14:textId="77777777" w:rsidTr="002D2246">
        <w:tc>
          <w:tcPr>
            <w:tcW w:w="9350" w:type="dxa"/>
            <w:shd w:val="clear" w:color="auto" w:fill="F2F2F2" w:themeFill="background1" w:themeFillShade="F2"/>
          </w:tcPr>
          <w:p w14:paraId="6F13D9DF" w14:textId="71E6D17B" w:rsidR="008A48A8" w:rsidRPr="006D1D42" w:rsidRDefault="008A48A8" w:rsidP="002D2246">
            <w:pPr>
              <w:contextualSpacing/>
              <w:jc w:val="center"/>
              <w:rPr>
                <w:rFonts w:ascii="Times New Roman" w:hAnsi="Times New Roman" w:cs="Times New Roman"/>
                <w:b/>
                <w:sz w:val="24"/>
                <w:szCs w:val="24"/>
              </w:rPr>
            </w:pPr>
            <w:r w:rsidRPr="006D1D42">
              <w:rPr>
                <w:rFonts w:ascii="Times New Roman" w:hAnsi="Times New Roman" w:cs="Times New Roman"/>
                <w:b/>
                <w:sz w:val="24"/>
                <w:szCs w:val="24"/>
              </w:rPr>
              <w:t xml:space="preserve">Secondary </w:t>
            </w:r>
            <w:r w:rsidR="005069E2" w:rsidRPr="006D1D42">
              <w:rPr>
                <w:rFonts w:ascii="Times New Roman" w:hAnsi="Times New Roman" w:cs="Times New Roman"/>
                <w:b/>
                <w:sz w:val="24"/>
                <w:szCs w:val="24"/>
              </w:rPr>
              <w:t xml:space="preserve">Enrollment </w:t>
            </w:r>
            <w:r w:rsidRPr="006D1D42">
              <w:rPr>
                <w:rFonts w:ascii="Times New Roman" w:hAnsi="Times New Roman" w:cs="Times New Roman"/>
                <w:b/>
                <w:sz w:val="24"/>
                <w:szCs w:val="24"/>
              </w:rPr>
              <w:t>Verification</w:t>
            </w:r>
          </w:p>
        </w:tc>
      </w:tr>
    </w:tbl>
    <w:p w14:paraId="20E6AF07" w14:textId="77777777" w:rsidR="008A48A8" w:rsidRPr="006D1D42" w:rsidRDefault="008A48A8" w:rsidP="008A48A8">
      <w:pPr>
        <w:spacing w:after="0" w:line="240" w:lineRule="auto"/>
        <w:contextualSpacing/>
        <w:jc w:val="both"/>
        <w:rPr>
          <w:rFonts w:ascii="Times New Roman" w:eastAsia="Times New Roman" w:hAnsi="Times New Roman" w:cs="Times New Roman"/>
          <w:sz w:val="24"/>
          <w:szCs w:val="24"/>
        </w:rPr>
      </w:pPr>
    </w:p>
    <w:p w14:paraId="6E40E7DD" w14:textId="72526634" w:rsidR="00B84F55" w:rsidRPr="006D1D42" w:rsidRDefault="008A48A8" w:rsidP="00BD6034">
      <w:pPr>
        <w:spacing w:after="0" w:line="240" w:lineRule="auto"/>
        <w:contextualSpacing/>
        <w:jc w:val="both"/>
        <w:rPr>
          <w:rFonts w:ascii="Times New Roman" w:eastAsia="Times New Roman" w:hAnsi="Times New Roman" w:cs="Times New Roman"/>
          <w:sz w:val="24"/>
          <w:szCs w:val="24"/>
        </w:rPr>
      </w:pPr>
      <w:r w:rsidRPr="006D1D42">
        <w:rPr>
          <w:rFonts w:ascii="Times New Roman" w:eastAsia="Times New Roman" w:hAnsi="Times New Roman" w:cs="Times New Roman"/>
          <w:sz w:val="24"/>
          <w:szCs w:val="24"/>
        </w:rPr>
        <w:t xml:space="preserve">Students who were marked as not attending </w:t>
      </w:r>
      <w:r w:rsidR="00140768" w:rsidRPr="006D1D42">
        <w:rPr>
          <w:rFonts w:ascii="Times New Roman" w:eastAsia="Times New Roman" w:hAnsi="Times New Roman" w:cs="Times New Roman"/>
          <w:sz w:val="24"/>
          <w:szCs w:val="24"/>
        </w:rPr>
        <w:t xml:space="preserve">in the initial verification </w:t>
      </w:r>
      <w:r w:rsidRPr="006D1D42">
        <w:rPr>
          <w:rFonts w:ascii="Times New Roman" w:eastAsia="Times New Roman" w:hAnsi="Times New Roman" w:cs="Times New Roman"/>
          <w:sz w:val="24"/>
          <w:szCs w:val="24"/>
        </w:rPr>
        <w:t xml:space="preserve">are rechecked </w:t>
      </w:r>
      <w:r w:rsidR="00B84F55" w:rsidRPr="006D1D42">
        <w:rPr>
          <w:rFonts w:ascii="Times New Roman" w:eastAsia="Times New Roman" w:hAnsi="Times New Roman" w:cs="Times New Roman"/>
          <w:sz w:val="24"/>
          <w:szCs w:val="24"/>
        </w:rPr>
        <w:t>and</w:t>
      </w:r>
      <w:r w:rsidR="00BA6BA7">
        <w:rPr>
          <w:rFonts w:ascii="Times New Roman" w:eastAsia="Times New Roman" w:hAnsi="Times New Roman" w:cs="Times New Roman"/>
          <w:sz w:val="24"/>
          <w:szCs w:val="24"/>
        </w:rPr>
        <w:t xml:space="preserve"> a</w:t>
      </w:r>
      <w:r w:rsidR="00B84F55" w:rsidRPr="006D1D42">
        <w:rPr>
          <w:rFonts w:ascii="Times New Roman" w:eastAsia="Times New Roman" w:hAnsi="Times New Roman" w:cs="Times New Roman"/>
          <w:sz w:val="24"/>
          <w:szCs w:val="24"/>
        </w:rPr>
        <w:t xml:space="preserve"> further investigation into the students’ activity</w:t>
      </w:r>
      <w:r w:rsidR="00BA6BA7">
        <w:rPr>
          <w:rFonts w:ascii="Times New Roman" w:eastAsia="Times New Roman" w:hAnsi="Times New Roman" w:cs="Times New Roman"/>
          <w:sz w:val="24"/>
          <w:szCs w:val="24"/>
        </w:rPr>
        <w:t xml:space="preserve"> will be evaluated</w:t>
      </w:r>
      <w:r w:rsidR="00B84F55" w:rsidRPr="006D1D42">
        <w:rPr>
          <w:rFonts w:ascii="Times New Roman" w:eastAsia="Times New Roman" w:hAnsi="Times New Roman" w:cs="Times New Roman"/>
          <w:sz w:val="24"/>
          <w:szCs w:val="24"/>
        </w:rPr>
        <w:t>. Students who are determined to have never attended, either in person</w:t>
      </w:r>
      <w:r w:rsidR="00650F74" w:rsidRPr="006D1D42">
        <w:rPr>
          <w:rFonts w:ascii="Times New Roman" w:eastAsia="Times New Roman" w:hAnsi="Times New Roman" w:cs="Times New Roman"/>
          <w:sz w:val="24"/>
          <w:szCs w:val="24"/>
        </w:rPr>
        <w:t>, hybrid,</w:t>
      </w:r>
      <w:r w:rsidR="00B84F55" w:rsidRPr="006D1D42">
        <w:rPr>
          <w:rFonts w:ascii="Times New Roman" w:eastAsia="Times New Roman" w:hAnsi="Times New Roman" w:cs="Times New Roman"/>
          <w:sz w:val="24"/>
          <w:szCs w:val="24"/>
        </w:rPr>
        <w:t xml:space="preserve"> or online, </w:t>
      </w:r>
      <w:r w:rsidR="00043DEC" w:rsidRPr="006D1D42">
        <w:rPr>
          <w:rFonts w:ascii="Times New Roman" w:eastAsia="Times New Roman" w:hAnsi="Times New Roman" w:cs="Times New Roman"/>
          <w:sz w:val="24"/>
          <w:szCs w:val="24"/>
        </w:rPr>
        <w:t xml:space="preserve">after the second </w:t>
      </w:r>
      <w:r w:rsidR="002E097E" w:rsidRPr="006D1D42">
        <w:rPr>
          <w:rFonts w:ascii="Times New Roman" w:eastAsia="Times New Roman" w:hAnsi="Times New Roman" w:cs="Times New Roman"/>
          <w:sz w:val="24"/>
          <w:szCs w:val="24"/>
        </w:rPr>
        <w:t xml:space="preserve">verification </w:t>
      </w:r>
      <w:r w:rsidR="00B84F55" w:rsidRPr="006D1D42">
        <w:rPr>
          <w:rFonts w:ascii="Times New Roman" w:eastAsia="Times New Roman" w:hAnsi="Times New Roman" w:cs="Times New Roman"/>
          <w:sz w:val="24"/>
          <w:szCs w:val="24"/>
        </w:rPr>
        <w:t xml:space="preserve">are administratively </w:t>
      </w:r>
      <w:r w:rsidR="00140768" w:rsidRPr="006D1D42">
        <w:rPr>
          <w:rFonts w:ascii="Times New Roman" w:eastAsia="Times New Roman" w:hAnsi="Times New Roman" w:cs="Times New Roman"/>
          <w:sz w:val="24"/>
          <w:szCs w:val="24"/>
        </w:rPr>
        <w:t>dropped</w:t>
      </w:r>
      <w:r w:rsidR="00B84F55" w:rsidRPr="006D1D42">
        <w:rPr>
          <w:rFonts w:ascii="Times New Roman" w:eastAsia="Times New Roman" w:hAnsi="Times New Roman" w:cs="Times New Roman"/>
          <w:sz w:val="24"/>
          <w:szCs w:val="24"/>
        </w:rPr>
        <w:t xml:space="preserve"> from the course</w:t>
      </w:r>
      <w:r w:rsidR="002E097E" w:rsidRPr="006D1D42">
        <w:rPr>
          <w:rFonts w:ascii="Times New Roman" w:eastAsia="Times New Roman" w:hAnsi="Times New Roman" w:cs="Times New Roman"/>
          <w:sz w:val="24"/>
          <w:szCs w:val="24"/>
        </w:rPr>
        <w:t xml:space="preserve"> with no academic penalty.</w:t>
      </w:r>
      <w:r w:rsidR="00DE7587" w:rsidRPr="006D1D42">
        <w:rPr>
          <w:rFonts w:ascii="Times New Roman" w:eastAsia="Times New Roman" w:hAnsi="Times New Roman" w:cs="Times New Roman"/>
          <w:sz w:val="24"/>
          <w:szCs w:val="24"/>
        </w:rPr>
        <w:t xml:space="preserve"> A notification </w:t>
      </w:r>
      <w:r w:rsidR="00342993" w:rsidRPr="006D1D42">
        <w:rPr>
          <w:rFonts w:ascii="Times New Roman" w:eastAsia="Times New Roman" w:hAnsi="Times New Roman" w:cs="Times New Roman"/>
          <w:sz w:val="24"/>
          <w:szCs w:val="24"/>
        </w:rPr>
        <w:t xml:space="preserve">of this action will be </w:t>
      </w:r>
      <w:r w:rsidR="00ED4AC5" w:rsidRPr="006D1D42">
        <w:rPr>
          <w:rFonts w:ascii="Times New Roman" w:eastAsia="Times New Roman" w:hAnsi="Times New Roman" w:cs="Times New Roman"/>
          <w:sz w:val="24"/>
          <w:szCs w:val="24"/>
        </w:rPr>
        <w:t>communicated to the student</w:t>
      </w:r>
      <w:r w:rsidR="00342993" w:rsidRPr="006D1D42">
        <w:rPr>
          <w:rFonts w:ascii="Times New Roman" w:eastAsia="Times New Roman" w:hAnsi="Times New Roman" w:cs="Times New Roman"/>
          <w:sz w:val="24"/>
          <w:szCs w:val="24"/>
        </w:rPr>
        <w:t>.</w:t>
      </w:r>
    </w:p>
    <w:p w14:paraId="70B45875" w14:textId="77777777" w:rsidR="00BD6034" w:rsidRPr="006D1D42" w:rsidRDefault="00BD6034" w:rsidP="00BD6034">
      <w:pPr>
        <w:spacing w:after="0" w:line="240" w:lineRule="auto"/>
        <w:contextualSpacing/>
        <w:jc w:val="both"/>
        <w:rPr>
          <w:rFonts w:ascii="Times New Roman" w:eastAsia="Times New Roman" w:hAnsi="Times New Roman" w:cs="Times New Roman"/>
          <w:sz w:val="24"/>
          <w:szCs w:val="24"/>
        </w:rPr>
      </w:pPr>
    </w:p>
    <w:tbl>
      <w:tblPr>
        <w:tblStyle w:val="TableGrid"/>
        <w:tblW w:w="0" w:type="auto"/>
        <w:shd w:val="clear" w:color="auto" w:fill="F2F2F2" w:themeFill="background1" w:themeFillShade="F2"/>
        <w:tblLook w:val="04A0" w:firstRow="1" w:lastRow="0" w:firstColumn="1" w:lastColumn="0" w:noHBand="0" w:noVBand="1"/>
      </w:tblPr>
      <w:tblGrid>
        <w:gridCol w:w="9350"/>
      </w:tblGrid>
      <w:tr w:rsidR="00BD6034" w:rsidRPr="006D1D42" w14:paraId="4529324C" w14:textId="77777777" w:rsidTr="00425F15">
        <w:tc>
          <w:tcPr>
            <w:tcW w:w="9350" w:type="dxa"/>
            <w:shd w:val="clear" w:color="auto" w:fill="F2F2F2" w:themeFill="background1" w:themeFillShade="F2"/>
          </w:tcPr>
          <w:p w14:paraId="51B26DC0" w14:textId="2F94EE72" w:rsidR="00BD6034" w:rsidRPr="006D1D42" w:rsidRDefault="00410D19" w:rsidP="00410D19">
            <w:pPr>
              <w:contextualSpacing/>
              <w:jc w:val="center"/>
              <w:rPr>
                <w:rFonts w:ascii="Times New Roman" w:hAnsi="Times New Roman" w:cs="Times New Roman"/>
                <w:b/>
                <w:sz w:val="24"/>
                <w:szCs w:val="24"/>
              </w:rPr>
            </w:pPr>
            <w:r w:rsidRPr="006D1D42">
              <w:rPr>
                <w:rFonts w:ascii="Times New Roman" w:hAnsi="Times New Roman" w:cs="Times New Roman"/>
                <w:b/>
                <w:sz w:val="24"/>
                <w:szCs w:val="24"/>
              </w:rPr>
              <w:t>Students</w:t>
            </w:r>
            <w:r w:rsidR="009B70FE" w:rsidRPr="006D1D42">
              <w:rPr>
                <w:rFonts w:ascii="Times New Roman" w:hAnsi="Times New Roman" w:cs="Times New Roman"/>
                <w:b/>
                <w:sz w:val="24"/>
                <w:szCs w:val="24"/>
              </w:rPr>
              <w:t xml:space="preserve"> Who DO NOT Start a Semester</w:t>
            </w:r>
          </w:p>
        </w:tc>
      </w:tr>
    </w:tbl>
    <w:p w14:paraId="1C05296D" w14:textId="0D12F293" w:rsidR="009421A2" w:rsidRPr="006D1D42" w:rsidRDefault="009421A2" w:rsidP="00410D19">
      <w:pPr>
        <w:spacing w:after="0" w:line="240" w:lineRule="auto"/>
        <w:contextualSpacing/>
        <w:jc w:val="both"/>
        <w:rPr>
          <w:rFonts w:ascii="Times New Roman" w:eastAsia="Times New Roman" w:hAnsi="Times New Roman" w:cs="Times New Roman"/>
          <w:sz w:val="24"/>
          <w:szCs w:val="24"/>
        </w:rPr>
      </w:pPr>
    </w:p>
    <w:p w14:paraId="45168623" w14:textId="7A945736" w:rsidR="009421A2" w:rsidRPr="006D1D42" w:rsidRDefault="00F76DBF" w:rsidP="00410D19">
      <w:pPr>
        <w:spacing w:after="0" w:line="240" w:lineRule="auto"/>
        <w:contextualSpacing/>
        <w:jc w:val="both"/>
        <w:rPr>
          <w:rFonts w:ascii="Times New Roman" w:eastAsia="Times New Roman" w:hAnsi="Times New Roman" w:cs="Times New Roman"/>
          <w:sz w:val="24"/>
          <w:szCs w:val="24"/>
        </w:rPr>
      </w:pPr>
      <w:r w:rsidRPr="006D1D42">
        <w:rPr>
          <w:rFonts w:ascii="Times New Roman" w:eastAsia="Times New Roman" w:hAnsi="Times New Roman" w:cs="Times New Roman"/>
          <w:sz w:val="24"/>
          <w:szCs w:val="24"/>
        </w:rPr>
        <w:t xml:space="preserve">Any student who fails to start </w:t>
      </w:r>
      <w:r w:rsidR="00F54073" w:rsidRPr="006D1D42">
        <w:rPr>
          <w:rFonts w:ascii="Times New Roman" w:eastAsia="Times New Roman" w:hAnsi="Times New Roman" w:cs="Times New Roman"/>
          <w:sz w:val="24"/>
          <w:szCs w:val="24"/>
        </w:rPr>
        <w:t xml:space="preserve">any of </w:t>
      </w:r>
      <w:r w:rsidRPr="006D1D42">
        <w:rPr>
          <w:rFonts w:ascii="Times New Roman" w:eastAsia="Times New Roman" w:hAnsi="Times New Roman" w:cs="Times New Roman"/>
          <w:sz w:val="24"/>
          <w:szCs w:val="24"/>
        </w:rPr>
        <w:t>their courses is not an eligible student and should not be awarded Title IV funds. The College must record the Last Date of Attendance (LDA) for any such student who fails to start as the last day of the semester the student did attend.</w:t>
      </w:r>
    </w:p>
    <w:p w14:paraId="09685F43" w14:textId="77777777" w:rsidR="009B70FE" w:rsidRPr="006D1D42" w:rsidRDefault="009B70FE" w:rsidP="009B70FE">
      <w:pPr>
        <w:spacing w:after="0" w:line="240" w:lineRule="auto"/>
        <w:contextualSpacing/>
        <w:jc w:val="both"/>
        <w:rPr>
          <w:rFonts w:ascii="Times New Roman" w:eastAsia="Times New Roman" w:hAnsi="Times New Roman" w:cs="Times New Roman"/>
          <w:sz w:val="24"/>
          <w:szCs w:val="24"/>
        </w:rPr>
      </w:pPr>
    </w:p>
    <w:tbl>
      <w:tblPr>
        <w:tblStyle w:val="TableGrid"/>
        <w:tblW w:w="0" w:type="auto"/>
        <w:shd w:val="clear" w:color="auto" w:fill="F2F2F2" w:themeFill="background1" w:themeFillShade="F2"/>
        <w:tblLook w:val="04A0" w:firstRow="1" w:lastRow="0" w:firstColumn="1" w:lastColumn="0" w:noHBand="0" w:noVBand="1"/>
      </w:tblPr>
      <w:tblGrid>
        <w:gridCol w:w="9350"/>
      </w:tblGrid>
      <w:tr w:rsidR="009B70FE" w:rsidRPr="006D1D42" w14:paraId="260812CA" w14:textId="77777777" w:rsidTr="00425F15">
        <w:tc>
          <w:tcPr>
            <w:tcW w:w="9350" w:type="dxa"/>
            <w:shd w:val="clear" w:color="auto" w:fill="F2F2F2" w:themeFill="background1" w:themeFillShade="F2"/>
          </w:tcPr>
          <w:p w14:paraId="041B4A8F" w14:textId="2024331D" w:rsidR="009B70FE" w:rsidRPr="006D1D42" w:rsidRDefault="009B70FE" w:rsidP="00425F15">
            <w:pPr>
              <w:contextualSpacing/>
              <w:jc w:val="center"/>
              <w:rPr>
                <w:rFonts w:ascii="Times New Roman" w:hAnsi="Times New Roman" w:cs="Times New Roman"/>
                <w:b/>
                <w:sz w:val="24"/>
                <w:szCs w:val="24"/>
              </w:rPr>
            </w:pPr>
            <w:r w:rsidRPr="006D1D42">
              <w:rPr>
                <w:rFonts w:ascii="Times New Roman" w:hAnsi="Times New Roman" w:cs="Times New Roman"/>
                <w:b/>
                <w:sz w:val="24"/>
                <w:szCs w:val="24"/>
              </w:rPr>
              <w:t>Students Who DO Start a Semester</w:t>
            </w:r>
            <w:r w:rsidR="00CC1F3B" w:rsidRPr="006D1D42">
              <w:rPr>
                <w:rFonts w:ascii="Times New Roman" w:hAnsi="Times New Roman" w:cs="Times New Roman"/>
                <w:b/>
                <w:sz w:val="24"/>
                <w:szCs w:val="24"/>
              </w:rPr>
              <w:t xml:space="preserve"> and Officially Withdraw</w:t>
            </w:r>
          </w:p>
        </w:tc>
      </w:tr>
    </w:tbl>
    <w:p w14:paraId="1EC583C3" w14:textId="77777777" w:rsidR="009B70FE" w:rsidRPr="006D1D42" w:rsidRDefault="009B70FE" w:rsidP="009B70FE">
      <w:pPr>
        <w:spacing w:after="0" w:line="240" w:lineRule="auto"/>
        <w:contextualSpacing/>
        <w:jc w:val="both"/>
        <w:rPr>
          <w:rFonts w:ascii="Times New Roman" w:eastAsia="Times New Roman" w:hAnsi="Times New Roman" w:cs="Times New Roman"/>
          <w:sz w:val="24"/>
          <w:szCs w:val="24"/>
        </w:rPr>
      </w:pPr>
    </w:p>
    <w:p w14:paraId="540DA744" w14:textId="4EF2D444" w:rsidR="009B70FE" w:rsidRPr="006D1D42" w:rsidRDefault="009B70FE" w:rsidP="00410D19">
      <w:pPr>
        <w:spacing w:after="0" w:line="240" w:lineRule="auto"/>
        <w:contextualSpacing/>
        <w:jc w:val="both"/>
        <w:rPr>
          <w:rFonts w:ascii="Times New Roman" w:eastAsia="Times New Roman" w:hAnsi="Times New Roman" w:cs="Times New Roman"/>
          <w:sz w:val="24"/>
          <w:szCs w:val="24"/>
        </w:rPr>
      </w:pPr>
      <w:r w:rsidRPr="00731BBE">
        <w:rPr>
          <w:rFonts w:ascii="Times New Roman" w:eastAsia="Times New Roman" w:hAnsi="Times New Roman" w:cs="Times New Roman"/>
          <w:sz w:val="24"/>
          <w:szCs w:val="24"/>
        </w:rPr>
        <w:t xml:space="preserve">If a student starts a semester, as verified by the faculty, and then </w:t>
      </w:r>
      <w:hyperlink r:id="rId14" w:history="1">
        <w:r w:rsidRPr="005B50F9">
          <w:rPr>
            <w:rStyle w:val="Hyperlink"/>
            <w:rFonts w:ascii="Times New Roman" w:eastAsia="Times New Roman" w:hAnsi="Times New Roman" w:cs="Times New Roman"/>
            <w:sz w:val="24"/>
            <w:szCs w:val="24"/>
          </w:rPr>
          <w:t>officially withdraws</w:t>
        </w:r>
      </w:hyperlink>
      <w:r w:rsidR="00E26D00" w:rsidRPr="00731BBE">
        <w:rPr>
          <w:rFonts w:ascii="Times New Roman" w:eastAsia="Times New Roman" w:hAnsi="Times New Roman" w:cs="Times New Roman"/>
          <w:sz w:val="24"/>
          <w:szCs w:val="24"/>
        </w:rPr>
        <w:t xml:space="preserve"> by notifying the College of their withdrawal</w:t>
      </w:r>
      <w:r w:rsidR="00072699" w:rsidRPr="00731BBE">
        <w:rPr>
          <w:rFonts w:ascii="Times New Roman" w:eastAsia="Times New Roman" w:hAnsi="Times New Roman" w:cs="Times New Roman"/>
          <w:sz w:val="24"/>
          <w:szCs w:val="24"/>
        </w:rPr>
        <w:t xml:space="preserve"> within the withdrawal period</w:t>
      </w:r>
      <w:r w:rsidR="00140768" w:rsidRPr="00731BBE">
        <w:rPr>
          <w:rFonts w:ascii="Times New Roman" w:eastAsia="Times New Roman" w:hAnsi="Times New Roman" w:cs="Times New Roman"/>
          <w:sz w:val="24"/>
          <w:szCs w:val="24"/>
        </w:rPr>
        <w:t xml:space="preserve"> </w:t>
      </w:r>
      <w:r w:rsidR="00072699" w:rsidRPr="00731BBE">
        <w:rPr>
          <w:rFonts w:ascii="Times New Roman" w:eastAsia="Times New Roman" w:hAnsi="Times New Roman" w:cs="Times New Roman"/>
          <w:sz w:val="24"/>
          <w:szCs w:val="24"/>
        </w:rPr>
        <w:t>(</w:t>
      </w:r>
      <w:r w:rsidR="00611EDB" w:rsidRPr="00731BBE">
        <w:rPr>
          <w:rFonts w:ascii="Times New Roman" w:eastAsia="Times New Roman" w:hAnsi="Times New Roman" w:cs="Times New Roman"/>
          <w:sz w:val="24"/>
          <w:szCs w:val="24"/>
        </w:rPr>
        <w:t xml:space="preserve">the </w:t>
      </w:r>
      <w:r w:rsidR="00611EDB" w:rsidRPr="00731BBE">
        <w:rPr>
          <w:rFonts w:ascii="Times New Roman" w:hAnsi="Times New Roman" w:cs="Times New Roman"/>
          <w:color w:val="000000"/>
          <w:sz w:val="24"/>
          <w:szCs w:val="24"/>
          <w:shd w:val="clear" w:color="auto" w:fill="FFFFFF"/>
        </w:rPr>
        <w:t>2nd day of the 11</w:t>
      </w:r>
      <w:r w:rsidR="00611EDB" w:rsidRPr="00731BBE">
        <w:rPr>
          <w:rFonts w:ascii="Times New Roman" w:hAnsi="Times New Roman" w:cs="Times New Roman"/>
          <w:color w:val="000000"/>
          <w:sz w:val="24"/>
          <w:szCs w:val="24"/>
          <w:shd w:val="clear" w:color="auto" w:fill="FFFFFF"/>
          <w:vertAlign w:val="superscript"/>
        </w:rPr>
        <w:t>th</w:t>
      </w:r>
      <w:r w:rsidR="00611EDB" w:rsidRPr="00731BBE">
        <w:rPr>
          <w:rFonts w:ascii="Times New Roman" w:hAnsi="Times New Roman" w:cs="Times New Roman"/>
          <w:color w:val="000000"/>
          <w:sz w:val="24"/>
          <w:szCs w:val="24"/>
          <w:shd w:val="clear" w:color="auto" w:fill="FFFFFF"/>
        </w:rPr>
        <w:t> week of classes</w:t>
      </w:r>
      <w:r w:rsidR="00072699" w:rsidRPr="00731BBE">
        <w:rPr>
          <w:rFonts w:ascii="Times New Roman" w:hAnsi="Times New Roman" w:cs="Times New Roman"/>
          <w:color w:val="000000"/>
          <w:sz w:val="24"/>
          <w:szCs w:val="24"/>
          <w:shd w:val="clear" w:color="auto" w:fill="FFFFFF"/>
        </w:rPr>
        <w:t>)</w:t>
      </w:r>
      <w:r w:rsidR="00072699" w:rsidRPr="00731BBE">
        <w:rPr>
          <w:color w:val="000000"/>
          <w:sz w:val="24"/>
          <w:szCs w:val="24"/>
          <w:shd w:val="clear" w:color="auto" w:fill="FFFFFF"/>
        </w:rPr>
        <w:t xml:space="preserve">, </w:t>
      </w:r>
      <w:r w:rsidR="00140768" w:rsidRPr="00731BBE">
        <w:rPr>
          <w:rFonts w:ascii="Times New Roman" w:eastAsia="Times New Roman" w:hAnsi="Times New Roman" w:cs="Times New Roman"/>
          <w:sz w:val="24"/>
          <w:szCs w:val="24"/>
        </w:rPr>
        <w:t>thus receiving a W grade</w:t>
      </w:r>
      <w:r w:rsidRPr="00731BBE">
        <w:rPr>
          <w:rFonts w:ascii="Times New Roman" w:eastAsia="Times New Roman" w:hAnsi="Times New Roman" w:cs="Times New Roman"/>
          <w:sz w:val="24"/>
          <w:szCs w:val="24"/>
        </w:rPr>
        <w:t xml:space="preserve">, </w:t>
      </w:r>
      <w:r w:rsidR="00E26D00" w:rsidRPr="00731BBE">
        <w:rPr>
          <w:rFonts w:ascii="Times New Roman" w:eastAsia="Times New Roman" w:hAnsi="Times New Roman" w:cs="Times New Roman"/>
          <w:sz w:val="24"/>
          <w:szCs w:val="24"/>
        </w:rPr>
        <w:t>the</w:t>
      </w:r>
      <w:r w:rsidRPr="00731BBE">
        <w:rPr>
          <w:rFonts w:ascii="Times New Roman" w:eastAsia="Times New Roman" w:hAnsi="Times New Roman" w:cs="Times New Roman"/>
          <w:sz w:val="24"/>
          <w:szCs w:val="24"/>
        </w:rPr>
        <w:t xml:space="preserve"> College </w:t>
      </w:r>
      <w:r w:rsidR="00C658ED">
        <w:rPr>
          <w:rFonts w:ascii="Times New Roman" w:eastAsia="Times New Roman" w:hAnsi="Times New Roman" w:cs="Times New Roman"/>
          <w:sz w:val="24"/>
          <w:szCs w:val="24"/>
        </w:rPr>
        <w:t>will</w:t>
      </w:r>
      <w:r w:rsidRPr="00731BBE">
        <w:rPr>
          <w:rFonts w:ascii="Times New Roman" w:eastAsia="Times New Roman" w:hAnsi="Times New Roman" w:cs="Times New Roman"/>
          <w:sz w:val="24"/>
          <w:szCs w:val="24"/>
        </w:rPr>
        <w:t xml:space="preserve"> use the date </w:t>
      </w:r>
      <w:r w:rsidR="00CC1F3B" w:rsidRPr="00731BBE">
        <w:rPr>
          <w:rFonts w:ascii="Times New Roman" w:eastAsia="Times New Roman" w:hAnsi="Times New Roman" w:cs="Times New Roman"/>
          <w:sz w:val="24"/>
          <w:szCs w:val="24"/>
        </w:rPr>
        <w:t xml:space="preserve">of </w:t>
      </w:r>
      <w:r w:rsidRPr="00731BBE">
        <w:rPr>
          <w:rFonts w:ascii="Times New Roman" w:eastAsia="Times New Roman" w:hAnsi="Times New Roman" w:cs="Times New Roman"/>
          <w:sz w:val="24"/>
          <w:szCs w:val="24"/>
        </w:rPr>
        <w:t xml:space="preserve">official withdrawal as the </w:t>
      </w:r>
      <w:r w:rsidR="00753D8E" w:rsidRPr="00731BBE">
        <w:rPr>
          <w:rFonts w:ascii="Times New Roman" w:eastAsia="Times New Roman" w:hAnsi="Times New Roman" w:cs="Times New Roman"/>
          <w:sz w:val="24"/>
          <w:szCs w:val="24"/>
        </w:rPr>
        <w:t>Last Date of Attendance (LDA)</w:t>
      </w:r>
      <w:r w:rsidRPr="00731BBE">
        <w:rPr>
          <w:rFonts w:ascii="Times New Roman" w:eastAsia="Times New Roman" w:hAnsi="Times New Roman" w:cs="Times New Roman"/>
          <w:sz w:val="24"/>
          <w:szCs w:val="24"/>
        </w:rPr>
        <w:t>.</w:t>
      </w:r>
      <w:r w:rsidR="009440DB" w:rsidRPr="00731BBE">
        <w:rPr>
          <w:rFonts w:ascii="Times New Roman" w:eastAsia="Times New Roman" w:hAnsi="Times New Roman" w:cs="Times New Roman"/>
          <w:sz w:val="24"/>
          <w:szCs w:val="24"/>
        </w:rPr>
        <w:t xml:space="preserve"> If a student officially withdraws, the student’s </w:t>
      </w:r>
      <w:r w:rsidR="00753D8E" w:rsidRPr="00731BBE">
        <w:rPr>
          <w:rFonts w:ascii="Times New Roman" w:eastAsia="Times New Roman" w:hAnsi="Times New Roman" w:cs="Times New Roman"/>
          <w:sz w:val="24"/>
          <w:szCs w:val="24"/>
        </w:rPr>
        <w:t xml:space="preserve">LDA </w:t>
      </w:r>
      <w:r w:rsidR="009440DB" w:rsidRPr="00731BBE">
        <w:rPr>
          <w:rFonts w:ascii="Times New Roman" w:eastAsia="Times New Roman" w:hAnsi="Times New Roman" w:cs="Times New Roman"/>
          <w:sz w:val="24"/>
          <w:szCs w:val="24"/>
        </w:rPr>
        <w:t>and the College’s Date of Determination (DOD) will be the same.</w:t>
      </w:r>
      <w:r w:rsidR="006D1D42" w:rsidRPr="00731BBE">
        <w:rPr>
          <w:rFonts w:ascii="Times New Roman" w:eastAsia="Times New Roman" w:hAnsi="Times New Roman" w:cs="Times New Roman"/>
          <w:sz w:val="24"/>
          <w:szCs w:val="24"/>
        </w:rPr>
        <w:t xml:space="preserve"> If a student takes a </w:t>
      </w:r>
      <w:hyperlink r:id="rId15" w:history="1">
        <w:r w:rsidR="006D1D42" w:rsidRPr="005B50F9">
          <w:rPr>
            <w:rStyle w:val="Hyperlink"/>
            <w:rFonts w:ascii="Times New Roman" w:eastAsia="Times New Roman" w:hAnsi="Times New Roman" w:cs="Times New Roman"/>
            <w:sz w:val="24"/>
            <w:szCs w:val="24"/>
          </w:rPr>
          <w:t>Leave of Absence</w:t>
        </w:r>
      </w:hyperlink>
      <w:r w:rsidR="006D1D42" w:rsidRPr="00731BBE">
        <w:rPr>
          <w:rFonts w:ascii="Times New Roman" w:eastAsia="Times New Roman" w:hAnsi="Times New Roman" w:cs="Times New Roman"/>
          <w:sz w:val="24"/>
          <w:szCs w:val="24"/>
        </w:rPr>
        <w:t>, the student’s LDA and the College’s DOD will be the same.</w:t>
      </w:r>
    </w:p>
    <w:p w14:paraId="10EA1CC4" w14:textId="77777777" w:rsidR="00CC1F3B" w:rsidRPr="006D1D42" w:rsidRDefault="00CC1F3B" w:rsidP="00CC1F3B">
      <w:pPr>
        <w:spacing w:after="0" w:line="240" w:lineRule="auto"/>
        <w:contextualSpacing/>
        <w:jc w:val="both"/>
        <w:rPr>
          <w:rFonts w:ascii="Times New Roman" w:eastAsia="Times New Roman" w:hAnsi="Times New Roman" w:cs="Times New Roman"/>
          <w:sz w:val="24"/>
          <w:szCs w:val="24"/>
        </w:rPr>
      </w:pPr>
    </w:p>
    <w:tbl>
      <w:tblPr>
        <w:tblStyle w:val="TableGrid"/>
        <w:tblW w:w="0" w:type="auto"/>
        <w:shd w:val="clear" w:color="auto" w:fill="F2F2F2" w:themeFill="background1" w:themeFillShade="F2"/>
        <w:tblLook w:val="04A0" w:firstRow="1" w:lastRow="0" w:firstColumn="1" w:lastColumn="0" w:noHBand="0" w:noVBand="1"/>
      </w:tblPr>
      <w:tblGrid>
        <w:gridCol w:w="9350"/>
      </w:tblGrid>
      <w:tr w:rsidR="00CC1F3B" w:rsidRPr="006D1D42" w14:paraId="3C7A5528" w14:textId="77777777" w:rsidTr="00E61135">
        <w:tc>
          <w:tcPr>
            <w:tcW w:w="9350" w:type="dxa"/>
            <w:shd w:val="clear" w:color="auto" w:fill="F2F2F2" w:themeFill="background1" w:themeFillShade="F2"/>
          </w:tcPr>
          <w:p w14:paraId="005E4B45" w14:textId="4685B243" w:rsidR="00CC1F3B" w:rsidRPr="006D1D42" w:rsidRDefault="00CC1F3B" w:rsidP="00E61135">
            <w:pPr>
              <w:contextualSpacing/>
              <w:jc w:val="center"/>
              <w:rPr>
                <w:rFonts w:ascii="Times New Roman" w:hAnsi="Times New Roman" w:cs="Times New Roman"/>
                <w:b/>
                <w:sz w:val="24"/>
                <w:szCs w:val="24"/>
              </w:rPr>
            </w:pPr>
            <w:r w:rsidRPr="006D1D42">
              <w:rPr>
                <w:rFonts w:ascii="Times New Roman" w:hAnsi="Times New Roman" w:cs="Times New Roman"/>
                <w:b/>
                <w:sz w:val="24"/>
                <w:szCs w:val="24"/>
              </w:rPr>
              <w:t>Students Who DO Start a Semester and Unofficially Withdraw</w:t>
            </w:r>
          </w:p>
        </w:tc>
      </w:tr>
    </w:tbl>
    <w:p w14:paraId="13D04DBA" w14:textId="7281D6FC" w:rsidR="00737688" w:rsidRPr="006D1D42" w:rsidRDefault="00737688" w:rsidP="00410D19">
      <w:pPr>
        <w:spacing w:after="0" w:line="240" w:lineRule="auto"/>
        <w:contextualSpacing/>
        <w:jc w:val="both"/>
        <w:rPr>
          <w:rFonts w:ascii="Times New Roman" w:eastAsia="Times New Roman" w:hAnsi="Times New Roman" w:cs="Times New Roman"/>
          <w:sz w:val="24"/>
          <w:szCs w:val="24"/>
        </w:rPr>
      </w:pPr>
    </w:p>
    <w:p w14:paraId="79383AF8" w14:textId="24F1DEBA" w:rsidR="00337724" w:rsidRPr="006D1D42" w:rsidRDefault="00A117B7" w:rsidP="007351B4">
      <w:pPr>
        <w:spacing w:after="0" w:line="240" w:lineRule="auto"/>
        <w:contextualSpacing/>
        <w:jc w:val="both"/>
        <w:rPr>
          <w:rFonts w:ascii="Times New Roman" w:eastAsia="Times New Roman" w:hAnsi="Times New Roman" w:cs="Times New Roman"/>
          <w:sz w:val="24"/>
          <w:szCs w:val="24"/>
        </w:rPr>
      </w:pPr>
      <w:r w:rsidRPr="006D1D42">
        <w:rPr>
          <w:rFonts w:ascii="Times New Roman" w:eastAsia="Times New Roman" w:hAnsi="Times New Roman" w:cs="Times New Roman"/>
          <w:sz w:val="24"/>
          <w:szCs w:val="24"/>
        </w:rPr>
        <w:t>A student who fails</w:t>
      </w:r>
      <w:r w:rsidR="00072699" w:rsidRPr="006D1D42">
        <w:rPr>
          <w:rFonts w:ascii="Times New Roman" w:eastAsia="Times New Roman" w:hAnsi="Times New Roman" w:cs="Times New Roman"/>
          <w:sz w:val="24"/>
          <w:szCs w:val="24"/>
        </w:rPr>
        <w:t xml:space="preserve"> a course </w:t>
      </w:r>
      <w:r w:rsidR="00C658ED">
        <w:rPr>
          <w:rFonts w:ascii="Times New Roman" w:eastAsia="Times New Roman" w:hAnsi="Times New Roman" w:cs="Times New Roman"/>
          <w:sz w:val="24"/>
          <w:szCs w:val="24"/>
        </w:rPr>
        <w:t>may</w:t>
      </w:r>
      <w:r w:rsidR="00072699" w:rsidRPr="006D1D42">
        <w:rPr>
          <w:rFonts w:ascii="Times New Roman" w:eastAsia="Times New Roman" w:hAnsi="Times New Roman" w:cs="Times New Roman"/>
          <w:sz w:val="24"/>
          <w:szCs w:val="24"/>
        </w:rPr>
        <w:t xml:space="preserve"> </w:t>
      </w:r>
      <w:r w:rsidR="005024BB" w:rsidRPr="006D1D42">
        <w:rPr>
          <w:rFonts w:ascii="Times New Roman" w:eastAsia="Times New Roman" w:hAnsi="Times New Roman" w:cs="Times New Roman"/>
          <w:sz w:val="24"/>
          <w:szCs w:val="24"/>
        </w:rPr>
        <w:t xml:space="preserve">be </w:t>
      </w:r>
      <w:r w:rsidR="00072699" w:rsidRPr="006D1D42">
        <w:rPr>
          <w:rFonts w:ascii="Times New Roman" w:eastAsia="Times New Roman" w:hAnsi="Times New Roman" w:cs="Times New Roman"/>
          <w:sz w:val="24"/>
          <w:szCs w:val="24"/>
        </w:rPr>
        <w:t xml:space="preserve">assigned a grade of WU (unofficial withdrawal) by a faculty </w:t>
      </w:r>
      <w:r w:rsidR="009010A6" w:rsidRPr="006D1D42">
        <w:rPr>
          <w:rFonts w:ascii="Times New Roman" w:eastAsia="Times New Roman" w:hAnsi="Times New Roman" w:cs="Times New Roman"/>
          <w:sz w:val="24"/>
          <w:szCs w:val="24"/>
        </w:rPr>
        <w:t>member under the following condition:</w:t>
      </w:r>
      <w:r w:rsidR="00072699" w:rsidRPr="006D1D42">
        <w:rPr>
          <w:rFonts w:ascii="Times New Roman" w:eastAsia="Times New Roman" w:hAnsi="Times New Roman" w:cs="Times New Roman"/>
          <w:sz w:val="24"/>
          <w:szCs w:val="24"/>
        </w:rPr>
        <w:t xml:space="preserve"> If in the judgement of the faculty member, a student fail</w:t>
      </w:r>
      <w:r w:rsidR="009010A6" w:rsidRPr="006D1D42">
        <w:rPr>
          <w:rFonts w:ascii="Times New Roman" w:eastAsia="Times New Roman" w:hAnsi="Times New Roman" w:cs="Times New Roman"/>
          <w:sz w:val="24"/>
          <w:szCs w:val="24"/>
        </w:rPr>
        <w:t>s</w:t>
      </w:r>
      <w:r w:rsidR="00072699" w:rsidRPr="006D1D42">
        <w:rPr>
          <w:rFonts w:ascii="Times New Roman" w:eastAsia="Times New Roman" w:hAnsi="Times New Roman" w:cs="Times New Roman"/>
          <w:sz w:val="24"/>
          <w:szCs w:val="24"/>
        </w:rPr>
        <w:t xml:space="preserve"> </w:t>
      </w:r>
      <w:r w:rsidR="009010A6" w:rsidRPr="006D1D42">
        <w:rPr>
          <w:rFonts w:ascii="Times New Roman" w:eastAsia="Times New Roman" w:hAnsi="Times New Roman" w:cs="Times New Roman"/>
          <w:sz w:val="24"/>
          <w:szCs w:val="24"/>
        </w:rPr>
        <w:t>a</w:t>
      </w:r>
      <w:r w:rsidR="00072699" w:rsidRPr="006D1D42">
        <w:rPr>
          <w:rFonts w:ascii="Times New Roman" w:eastAsia="Times New Roman" w:hAnsi="Times New Roman" w:cs="Times New Roman"/>
          <w:sz w:val="24"/>
          <w:szCs w:val="24"/>
        </w:rPr>
        <w:t xml:space="preserve"> course because they ceased activity in all course modalities before the end of the withdrawal period, then </w:t>
      </w:r>
      <w:r w:rsidR="009010A6" w:rsidRPr="006D1D42">
        <w:rPr>
          <w:rFonts w:ascii="Times New Roman" w:eastAsia="Times New Roman" w:hAnsi="Times New Roman" w:cs="Times New Roman"/>
          <w:sz w:val="24"/>
          <w:szCs w:val="24"/>
        </w:rPr>
        <w:t>the student</w:t>
      </w:r>
      <w:r w:rsidR="005024BB" w:rsidRPr="006D1D42">
        <w:rPr>
          <w:rFonts w:ascii="Times New Roman" w:eastAsia="Times New Roman" w:hAnsi="Times New Roman" w:cs="Times New Roman"/>
          <w:sz w:val="24"/>
          <w:szCs w:val="24"/>
        </w:rPr>
        <w:t xml:space="preserve"> </w:t>
      </w:r>
      <w:r w:rsidR="00C658ED">
        <w:rPr>
          <w:rFonts w:ascii="Times New Roman" w:eastAsia="Times New Roman" w:hAnsi="Times New Roman" w:cs="Times New Roman"/>
          <w:sz w:val="24"/>
          <w:szCs w:val="24"/>
        </w:rPr>
        <w:t>may</w:t>
      </w:r>
      <w:r w:rsidR="009010A6" w:rsidRPr="006D1D42">
        <w:rPr>
          <w:rFonts w:ascii="Times New Roman" w:eastAsia="Times New Roman" w:hAnsi="Times New Roman" w:cs="Times New Roman"/>
          <w:sz w:val="24"/>
          <w:szCs w:val="24"/>
        </w:rPr>
        <w:t xml:space="preserve"> be assigned</w:t>
      </w:r>
      <w:r w:rsidR="00072699" w:rsidRPr="006D1D42">
        <w:rPr>
          <w:rFonts w:ascii="Times New Roman" w:eastAsia="Times New Roman" w:hAnsi="Times New Roman" w:cs="Times New Roman"/>
          <w:sz w:val="24"/>
          <w:szCs w:val="24"/>
        </w:rPr>
        <w:t xml:space="preserve"> a grade of WU. </w:t>
      </w:r>
      <w:r w:rsidR="00337724" w:rsidRPr="006D1D42">
        <w:rPr>
          <w:rFonts w:ascii="Times New Roman" w:eastAsia="Times New Roman" w:hAnsi="Times New Roman" w:cs="Times New Roman"/>
          <w:sz w:val="24"/>
          <w:szCs w:val="24"/>
        </w:rPr>
        <w:t xml:space="preserve">A grade </w:t>
      </w:r>
      <w:r w:rsidR="00E34BFF" w:rsidRPr="006D1D42">
        <w:rPr>
          <w:rFonts w:ascii="Times New Roman" w:eastAsia="Times New Roman" w:hAnsi="Times New Roman" w:cs="Times New Roman"/>
          <w:sz w:val="24"/>
          <w:szCs w:val="24"/>
        </w:rPr>
        <w:t>of WU</w:t>
      </w:r>
      <w:r w:rsidR="00F234A5" w:rsidRPr="006D1D42">
        <w:rPr>
          <w:rFonts w:ascii="Times New Roman" w:eastAsia="Times New Roman" w:hAnsi="Times New Roman" w:cs="Times New Roman"/>
          <w:sz w:val="24"/>
          <w:szCs w:val="24"/>
        </w:rPr>
        <w:t xml:space="preserve"> is calculated as an F in the student’s GPA.</w:t>
      </w:r>
      <w:r w:rsidR="00AA0B63" w:rsidRPr="006D1D42">
        <w:rPr>
          <w:rFonts w:ascii="Times New Roman" w:eastAsia="Times New Roman" w:hAnsi="Times New Roman" w:cs="Times New Roman"/>
          <w:sz w:val="24"/>
          <w:szCs w:val="24"/>
        </w:rPr>
        <w:t xml:space="preserve"> For students assigned a WU</w:t>
      </w:r>
      <w:r w:rsidR="009010A6" w:rsidRPr="006D1D42">
        <w:rPr>
          <w:rFonts w:ascii="Times New Roman" w:eastAsia="Times New Roman" w:hAnsi="Times New Roman" w:cs="Times New Roman"/>
          <w:sz w:val="24"/>
          <w:szCs w:val="24"/>
        </w:rPr>
        <w:t xml:space="preserve"> grade</w:t>
      </w:r>
      <w:r w:rsidR="00AA0B63" w:rsidRPr="006D1D42">
        <w:rPr>
          <w:rFonts w:ascii="Times New Roman" w:eastAsia="Times New Roman" w:hAnsi="Times New Roman" w:cs="Times New Roman"/>
          <w:sz w:val="24"/>
          <w:szCs w:val="24"/>
        </w:rPr>
        <w:t xml:space="preserve">, the College will use the 50% point in the term as the LDA. For unofficial withdrawals the LDA and the DOD </w:t>
      </w:r>
      <w:r w:rsidR="00C658ED">
        <w:rPr>
          <w:rFonts w:ascii="Times New Roman" w:eastAsia="Times New Roman" w:hAnsi="Times New Roman" w:cs="Times New Roman"/>
          <w:sz w:val="24"/>
          <w:szCs w:val="24"/>
        </w:rPr>
        <w:t>may</w:t>
      </w:r>
      <w:r w:rsidR="00AA0B63" w:rsidRPr="006D1D42">
        <w:rPr>
          <w:rFonts w:ascii="Times New Roman" w:eastAsia="Times New Roman" w:hAnsi="Times New Roman" w:cs="Times New Roman"/>
          <w:sz w:val="24"/>
          <w:szCs w:val="24"/>
        </w:rPr>
        <w:t xml:space="preserve"> not be the same.</w:t>
      </w:r>
      <w:r w:rsidR="00ED4AC5" w:rsidRPr="006D1D42">
        <w:rPr>
          <w:rFonts w:ascii="Times New Roman" w:eastAsia="Times New Roman" w:hAnsi="Times New Roman" w:cs="Times New Roman"/>
          <w:sz w:val="24"/>
          <w:szCs w:val="24"/>
        </w:rPr>
        <w:t xml:space="preserve"> Students who are unofficially withdrawn from a course </w:t>
      </w:r>
      <w:r w:rsidR="00932BDD" w:rsidRPr="006D1D42">
        <w:rPr>
          <w:rFonts w:ascii="Times New Roman" w:eastAsia="Times New Roman" w:hAnsi="Times New Roman" w:cs="Times New Roman"/>
          <w:sz w:val="24"/>
          <w:szCs w:val="24"/>
        </w:rPr>
        <w:t>remain</w:t>
      </w:r>
      <w:r w:rsidR="00ED4AC5" w:rsidRPr="006D1D42">
        <w:rPr>
          <w:rFonts w:ascii="Times New Roman" w:eastAsia="Times New Roman" w:hAnsi="Times New Roman" w:cs="Times New Roman"/>
          <w:sz w:val="24"/>
          <w:szCs w:val="24"/>
        </w:rPr>
        <w:t xml:space="preserve"> liable for tuition.</w:t>
      </w:r>
    </w:p>
    <w:p w14:paraId="0B644982" w14:textId="77777777" w:rsidR="009440DB" w:rsidRPr="006D1D42" w:rsidRDefault="009440DB" w:rsidP="009440DB">
      <w:pPr>
        <w:pStyle w:val="Default"/>
        <w:contextualSpacing/>
        <w:jc w:val="both"/>
        <w:rPr>
          <w:rFonts w:ascii="Times New Roman" w:hAnsi="Times New Roman" w:cs="Times New Roman"/>
        </w:rPr>
      </w:pPr>
    </w:p>
    <w:tbl>
      <w:tblPr>
        <w:tblStyle w:val="TableGrid"/>
        <w:tblW w:w="0" w:type="auto"/>
        <w:shd w:val="clear" w:color="auto" w:fill="F2F2F2" w:themeFill="background1" w:themeFillShade="F2"/>
        <w:tblLook w:val="04A0" w:firstRow="1" w:lastRow="0" w:firstColumn="1" w:lastColumn="0" w:noHBand="0" w:noVBand="1"/>
      </w:tblPr>
      <w:tblGrid>
        <w:gridCol w:w="9350"/>
      </w:tblGrid>
      <w:tr w:rsidR="009440DB" w:rsidRPr="006D1D42" w14:paraId="30B901C5" w14:textId="77777777" w:rsidTr="00425F15">
        <w:tc>
          <w:tcPr>
            <w:tcW w:w="9350" w:type="dxa"/>
            <w:shd w:val="clear" w:color="auto" w:fill="F2F2F2" w:themeFill="background1" w:themeFillShade="F2"/>
          </w:tcPr>
          <w:p w14:paraId="2164BD25" w14:textId="0FB7A6BA" w:rsidR="009440DB" w:rsidRPr="006D1D42" w:rsidRDefault="009440DB" w:rsidP="00425F15">
            <w:pPr>
              <w:contextualSpacing/>
              <w:jc w:val="center"/>
              <w:rPr>
                <w:rFonts w:ascii="Times New Roman" w:hAnsi="Times New Roman" w:cs="Times New Roman"/>
                <w:b/>
                <w:sz w:val="24"/>
                <w:szCs w:val="24"/>
              </w:rPr>
            </w:pPr>
            <w:r w:rsidRPr="006D1D42">
              <w:rPr>
                <w:rFonts w:ascii="Times New Roman" w:hAnsi="Times New Roman" w:cs="Times New Roman"/>
                <w:b/>
                <w:sz w:val="24"/>
                <w:szCs w:val="24"/>
              </w:rPr>
              <w:t>Grad</w:t>
            </w:r>
            <w:r w:rsidR="00B55A54" w:rsidRPr="006D1D42">
              <w:rPr>
                <w:rFonts w:ascii="Times New Roman" w:hAnsi="Times New Roman" w:cs="Times New Roman"/>
                <w:b/>
                <w:sz w:val="24"/>
                <w:szCs w:val="24"/>
              </w:rPr>
              <w:t>e</w:t>
            </w:r>
            <w:r w:rsidR="007672B7" w:rsidRPr="006D1D42">
              <w:rPr>
                <w:rFonts w:ascii="Times New Roman" w:hAnsi="Times New Roman" w:cs="Times New Roman"/>
                <w:b/>
                <w:sz w:val="24"/>
                <w:szCs w:val="24"/>
              </w:rPr>
              <w:t xml:space="preserve"> Policies</w:t>
            </w:r>
          </w:p>
        </w:tc>
      </w:tr>
    </w:tbl>
    <w:p w14:paraId="4485A76D" w14:textId="3F1AC07C" w:rsidR="009440DB" w:rsidRPr="006D1D42" w:rsidRDefault="009440DB" w:rsidP="009440DB">
      <w:pPr>
        <w:spacing w:after="0" w:line="240" w:lineRule="auto"/>
        <w:contextualSpacing/>
        <w:jc w:val="both"/>
        <w:rPr>
          <w:rFonts w:ascii="Times New Roman" w:eastAsia="Times New Roman" w:hAnsi="Times New Roman" w:cs="Times New Roman"/>
          <w:sz w:val="24"/>
          <w:szCs w:val="24"/>
        </w:rPr>
      </w:pPr>
    </w:p>
    <w:p w14:paraId="00572633" w14:textId="568D7D7B" w:rsidR="007672B7" w:rsidRDefault="007672B7" w:rsidP="009440DB">
      <w:pPr>
        <w:spacing w:after="0" w:line="240" w:lineRule="auto"/>
        <w:contextualSpacing/>
        <w:jc w:val="both"/>
        <w:rPr>
          <w:rFonts w:ascii="Times New Roman" w:eastAsia="Times New Roman" w:hAnsi="Times New Roman" w:cs="Times New Roman"/>
          <w:sz w:val="24"/>
          <w:szCs w:val="24"/>
        </w:rPr>
      </w:pPr>
      <w:r w:rsidRPr="006D1D42">
        <w:rPr>
          <w:rFonts w:ascii="Times New Roman" w:eastAsia="Times New Roman" w:hAnsi="Times New Roman" w:cs="Times New Roman"/>
          <w:sz w:val="24"/>
          <w:szCs w:val="24"/>
        </w:rPr>
        <w:t>Policies for Undergraduate and Graduate grading policies are found in the online catalog under “</w:t>
      </w:r>
      <w:hyperlink r:id="rId16" w:history="1">
        <w:r w:rsidRPr="005B50F9">
          <w:rPr>
            <w:rStyle w:val="Hyperlink"/>
            <w:rFonts w:ascii="Times New Roman" w:eastAsia="Times New Roman" w:hAnsi="Times New Roman" w:cs="Times New Roman"/>
            <w:sz w:val="24"/>
            <w:szCs w:val="24"/>
          </w:rPr>
          <w:t>Academic Policies</w:t>
        </w:r>
      </w:hyperlink>
      <w:r w:rsidR="005B50F9">
        <w:rPr>
          <w:rFonts w:ascii="Times New Roman" w:eastAsia="Times New Roman" w:hAnsi="Times New Roman" w:cs="Times New Roman"/>
          <w:sz w:val="24"/>
          <w:szCs w:val="24"/>
        </w:rPr>
        <w:t>”.</w:t>
      </w:r>
    </w:p>
    <w:p w14:paraId="0D13C1DA" w14:textId="4A007B25" w:rsidR="00020CAB" w:rsidRDefault="00020CAB" w:rsidP="009440DB">
      <w:pPr>
        <w:spacing w:after="0" w:line="240" w:lineRule="auto"/>
        <w:contextualSpacing/>
        <w:jc w:val="both"/>
        <w:rPr>
          <w:rFonts w:ascii="Times New Roman" w:eastAsia="Times New Roman" w:hAnsi="Times New Roman" w:cs="Times New Roman"/>
          <w:sz w:val="24"/>
          <w:szCs w:val="24"/>
        </w:rPr>
      </w:pPr>
    </w:p>
    <w:sectPr w:rsidR="00020CAB" w:rsidSect="00C658ED">
      <w:headerReference w:type="defaul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56CF0B" w14:textId="77777777" w:rsidR="00DF5355" w:rsidRDefault="00DF5355" w:rsidP="002974A3">
      <w:pPr>
        <w:spacing w:after="0" w:line="240" w:lineRule="auto"/>
      </w:pPr>
      <w:r>
        <w:separator/>
      </w:r>
    </w:p>
  </w:endnote>
  <w:endnote w:type="continuationSeparator" w:id="0">
    <w:p w14:paraId="68606C3F" w14:textId="77777777" w:rsidR="00DF5355" w:rsidRDefault="00DF5355" w:rsidP="002974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9289B9" w14:textId="77777777" w:rsidR="00DF5355" w:rsidRDefault="00DF5355" w:rsidP="002974A3">
      <w:pPr>
        <w:spacing w:after="0" w:line="240" w:lineRule="auto"/>
      </w:pPr>
      <w:r>
        <w:separator/>
      </w:r>
    </w:p>
  </w:footnote>
  <w:footnote w:type="continuationSeparator" w:id="0">
    <w:p w14:paraId="748B9922" w14:textId="77777777" w:rsidR="00DF5355" w:rsidRDefault="00DF5355" w:rsidP="002974A3">
      <w:pPr>
        <w:spacing w:after="0" w:line="240" w:lineRule="auto"/>
      </w:pPr>
      <w:r>
        <w:continuationSeparator/>
      </w:r>
    </w:p>
  </w:footnote>
  <w:footnote w:id="1">
    <w:p w14:paraId="42903847" w14:textId="20FAF944" w:rsidR="002974A3" w:rsidRPr="002974A3" w:rsidRDefault="002974A3" w:rsidP="002974A3">
      <w:pPr>
        <w:shd w:val="clear" w:color="auto" w:fill="FFFFFF"/>
        <w:spacing w:after="0" w:line="240" w:lineRule="auto"/>
        <w:ind w:firstLine="270"/>
        <w:contextualSpacing/>
        <w:jc w:val="both"/>
        <w:rPr>
          <w:rFonts w:ascii="Times New Roman" w:hAnsi="Times New Roman" w:cs="Times New Roman"/>
          <w:color w:val="000000"/>
          <w:sz w:val="20"/>
          <w:szCs w:val="20"/>
        </w:rPr>
      </w:pPr>
      <w:r w:rsidRPr="002974A3">
        <w:rPr>
          <w:rStyle w:val="FootnoteReference"/>
          <w:rFonts w:ascii="Times New Roman" w:hAnsi="Times New Roman" w:cs="Times New Roman"/>
          <w:sz w:val="20"/>
          <w:szCs w:val="20"/>
        </w:rPr>
        <w:footnoteRef/>
      </w:r>
      <w:r w:rsidRPr="002974A3">
        <w:rPr>
          <w:rFonts w:ascii="Times New Roman" w:hAnsi="Times New Roman" w:cs="Times New Roman"/>
          <w:sz w:val="20"/>
          <w:szCs w:val="20"/>
        </w:rPr>
        <w:t xml:space="preserve"> </w:t>
      </w:r>
      <w:r w:rsidRPr="002974A3">
        <w:rPr>
          <w:rFonts w:ascii="Times New Roman" w:eastAsia="Times New Roman" w:hAnsi="Times New Roman" w:cs="Times New Roman"/>
          <w:color w:val="000000"/>
          <w:sz w:val="20"/>
          <w:szCs w:val="20"/>
          <w:bdr w:val="none" w:sz="0" w:space="0" w:color="auto" w:frame="1"/>
        </w:rPr>
        <w:t>Some specific programs such as Nursing and Education may have additional participation requirements associated with certification and accreditation, which will be shared by the appropriate department or program.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2FF24" w14:textId="53EFE6E9" w:rsidR="006D1D42" w:rsidRPr="006D1D42" w:rsidRDefault="006D1D42" w:rsidP="006D1D42">
    <w:pPr>
      <w:pStyle w:val="Header"/>
      <w:jc w:val="right"/>
      <w:rPr>
        <w:sz w:val="18"/>
        <w:szCs w:val="18"/>
      </w:rPr>
    </w:pPr>
    <w:r>
      <w:rPr>
        <w:sz w:val="18"/>
        <w:szCs w:val="18"/>
      </w:rPr>
      <w:t>Approved 3/7/24</w:t>
    </w:r>
    <w:r w:rsidR="00BA6BA7">
      <w:rPr>
        <w:sz w:val="18"/>
        <w:szCs w:val="18"/>
      </w:rPr>
      <w:t xml:space="preserve"> (Updated </w:t>
    </w:r>
    <w:r w:rsidR="00944AE6">
      <w:rPr>
        <w:sz w:val="18"/>
        <w:szCs w:val="18"/>
      </w:rPr>
      <w:t>02/08/25</w:t>
    </w:r>
    <w:r w:rsidR="00BA6BA7">
      <w:rPr>
        <w:sz w:val="18"/>
        <w:szCs w:val="18"/>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E4450F"/>
    <w:multiLevelType w:val="multilevel"/>
    <w:tmpl w:val="0AC0E6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7439438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26D2"/>
    <w:rsid w:val="000141C1"/>
    <w:rsid w:val="00020CAB"/>
    <w:rsid w:val="000222DD"/>
    <w:rsid w:val="00032E78"/>
    <w:rsid w:val="00043DEC"/>
    <w:rsid w:val="00072699"/>
    <w:rsid w:val="00091301"/>
    <w:rsid w:val="00092048"/>
    <w:rsid w:val="000C2898"/>
    <w:rsid w:val="000D13B1"/>
    <w:rsid w:val="000D5DEC"/>
    <w:rsid w:val="0010293D"/>
    <w:rsid w:val="001226A1"/>
    <w:rsid w:val="00140768"/>
    <w:rsid w:val="00165699"/>
    <w:rsid w:val="001814A4"/>
    <w:rsid w:val="001860DC"/>
    <w:rsid w:val="001B0703"/>
    <w:rsid w:val="001B7104"/>
    <w:rsid w:val="00207C29"/>
    <w:rsid w:val="00220F47"/>
    <w:rsid w:val="002540BF"/>
    <w:rsid w:val="002566B8"/>
    <w:rsid w:val="00286E6B"/>
    <w:rsid w:val="002974A3"/>
    <w:rsid w:val="002C14DD"/>
    <w:rsid w:val="002C31CA"/>
    <w:rsid w:val="002E097E"/>
    <w:rsid w:val="00306528"/>
    <w:rsid w:val="003139D3"/>
    <w:rsid w:val="00315564"/>
    <w:rsid w:val="00337724"/>
    <w:rsid w:val="00342993"/>
    <w:rsid w:val="00345E20"/>
    <w:rsid w:val="003F33C7"/>
    <w:rsid w:val="003F47F8"/>
    <w:rsid w:val="00410D19"/>
    <w:rsid w:val="00437B01"/>
    <w:rsid w:val="00495764"/>
    <w:rsid w:val="004B2E87"/>
    <w:rsid w:val="004B4AAD"/>
    <w:rsid w:val="004B5EE5"/>
    <w:rsid w:val="005024BB"/>
    <w:rsid w:val="005069E2"/>
    <w:rsid w:val="00534C0A"/>
    <w:rsid w:val="005523EE"/>
    <w:rsid w:val="00577128"/>
    <w:rsid w:val="005A5AF1"/>
    <w:rsid w:val="005B50F9"/>
    <w:rsid w:val="005D4AC2"/>
    <w:rsid w:val="005F4ED2"/>
    <w:rsid w:val="005F5B27"/>
    <w:rsid w:val="00611EDB"/>
    <w:rsid w:val="0064685A"/>
    <w:rsid w:val="00650F74"/>
    <w:rsid w:val="0069498C"/>
    <w:rsid w:val="006D1D42"/>
    <w:rsid w:val="006F1D10"/>
    <w:rsid w:val="00701F75"/>
    <w:rsid w:val="007103EF"/>
    <w:rsid w:val="00731BBE"/>
    <w:rsid w:val="007351B4"/>
    <w:rsid w:val="00737688"/>
    <w:rsid w:val="00744A97"/>
    <w:rsid w:val="00753D8E"/>
    <w:rsid w:val="007672B7"/>
    <w:rsid w:val="007733BC"/>
    <w:rsid w:val="00777D8E"/>
    <w:rsid w:val="007E2E3A"/>
    <w:rsid w:val="00820530"/>
    <w:rsid w:val="00821979"/>
    <w:rsid w:val="0082511B"/>
    <w:rsid w:val="008459C4"/>
    <w:rsid w:val="00861376"/>
    <w:rsid w:val="008A48A8"/>
    <w:rsid w:val="008D2105"/>
    <w:rsid w:val="009010A6"/>
    <w:rsid w:val="00911322"/>
    <w:rsid w:val="009140D3"/>
    <w:rsid w:val="0092235C"/>
    <w:rsid w:val="00932BDD"/>
    <w:rsid w:val="009421A2"/>
    <w:rsid w:val="009440DB"/>
    <w:rsid w:val="00944AE6"/>
    <w:rsid w:val="00951CBD"/>
    <w:rsid w:val="009863BC"/>
    <w:rsid w:val="00995529"/>
    <w:rsid w:val="009B26D2"/>
    <w:rsid w:val="009B70FE"/>
    <w:rsid w:val="00A117B7"/>
    <w:rsid w:val="00A355FE"/>
    <w:rsid w:val="00A661BE"/>
    <w:rsid w:val="00AA0B63"/>
    <w:rsid w:val="00AB2D37"/>
    <w:rsid w:val="00AD0428"/>
    <w:rsid w:val="00AE121E"/>
    <w:rsid w:val="00AF6D61"/>
    <w:rsid w:val="00B07038"/>
    <w:rsid w:val="00B26197"/>
    <w:rsid w:val="00B43077"/>
    <w:rsid w:val="00B55A54"/>
    <w:rsid w:val="00B74A9A"/>
    <w:rsid w:val="00B84F55"/>
    <w:rsid w:val="00BA6BA7"/>
    <w:rsid w:val="00BC7A08"/>
    <w:rsid w:val="00BD5639"/>
    <w:rsid w:val="00BD6034"/>
    <w:rsid w:val="00BE0A3D"/>
    <w:rsid w:val="00BE1BC6"/>
    <w:rsid w:val="00BF3D13"/>
    <w:rsid w:val="00C3779B"/>
    <w:rsid w:val="00C55514"/>
    <w:rsid w:val="00C658ED"/>
    <w:rsid w:val="00CA0443"/>
    <w:rsid w:val="00CC1F3B"/>
    <w:rsid w:val="00CC4EC6"/>
    <w:rsid w:val="00CE76B3"/>
    <w:rsid w:val="00D13F23"/>
    <w:rsid w:val="00D26320"/>
    <w:rsid w:val="00DC0B98"/>
    <w:rsid w:val="00DE7587"/>
    <w:rsid w:val="00DF5355"/>
    <w:rsid w:val="00E26D00"/>
    <w:rsid w:val="00E34BFF"/>
    <w:rsid w:val="00E41AAD"/>
    <w:rsid w:val="00E77D8C"/>
    <w:rsid w:val="00E96A57"/>
    <w:rsid w:val="00ED4AC5"/>
    <w:rsid w:val="00ED5E55"/>
    <w:rsid w:val="00EE31EB"/>
    <w:rsid w:val="00F234A5"/>
    <w:rsid w:val="00F27A09"/>
    <w:rsid w:val="00F54073"/>
    <w:rsid w:val="00F73171"/>
    <w:rsid w:val="00F76DBF"/>
    <w:rsid w:val="00F83AC4"/>
    <w:rsid w:val="00F84E77"/>
    <w:rsid w:val="00FA22AC"/>
    <w:rsid w:val="00FD0467"/>
    <w:rsid w:val="00FF2804"/>
    <w:rsid w:val="00FF40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D782A7"/>
  <w15:chartTrackingRefBased/>
  <w15:docId w15:val="{560EF9EA-2E94-480D-98D2-CCAB4AC107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26D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B26D2"/>
    <w:rPr>
      <w:color w:val="0563C1" w:themeColor="hyperlink"/>
      <w:u w:val="single"/>
    </w:rPr>
  </w:style>
  <w:style w:type="table" w:styleId="TableGrid">
    <w:name w:val="Table Grid"/>
    <w:basedOn w:val="TableNormal"/>
    <w:uiPriority w:val="39"/>
    <w:rsid w:val="009B26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974A3"/>
    <w:pPr>
      <w:autoSpaceDE w:val="0"/>
      <w:autoSpaceDN w:val="0"/>
      <w:adjustRightInd w:val="0"/>
      <w:spacing w:after="0" w:line="240" w:lineRule="auto"/>
    </w:pPr>
    <w:rPr>
      <w:rFonts w:ascii="Calibri" w:hAnsi="Calibri" w:cs="Calibri"/>
      <w:color w:val="000000"/>
      <w:sz w:val="24"/>
      <w:szCs w:val="24"/>
    </w:rPr>
  </w:style>
  <w:style w:type="paragraph" w:styleId="FootnoteText">
    <w:name w:val="footnote text"/>
    <w:basedOn w:val="Normal"/>
    <w:link w:val="FootnoteTextChar"/>
    <w:uiPriority w:val="99"/>
    <w:semiHidden/>
    <w:unhideWhenUsed/>
    <w:rsid w:val="002974A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974A3"/>
    <w:rPr>
      <w:sz w:val="20"/>
      <w:szCs w:val="20"/>
    </w:rPr>
  </w:style>
  <w:style w:type="character" w:styleId="FootnoteReference">
    <w:name w:val="footnote reference"/>
    <w:basedOn w:val="DefaultParagraphFont"/>
    <w:uiPriority w:val="99"/>
    <w:semiHidden/>
    <w:unhideWhenUsed/>
    <w:rsid w:val="002974A3"/>
    <w:rPr>
      <w:vertAlign w:val="superscript"/>
    </w:rPr>
  </w:style>
  <w:style w:type="character" w:styleId="UnresolvedMention">
    <w:name w:val="Unresolved Mention"/>
    <w:basedOn w:val="DefaultParagraphFont"/>
    <w:uiPriority w:val="99"/>
    <w:semiHidden/>
    <w:unhideWhenUsed/>
    <w:rsid w:val="00ED5E55"/>
    <w:rPr>
      <w:color w:val="605E5C"/>
      <w:shd w:val="clear" w:color="auto" w:fill="E1DFDD"/>
    </w:rPr>
  </w:style>
  <w:style w:type="character" w:styleId="FollowedHyperlink">
    <w:name w:val="FollowedHyperlink"/>
    <w:basedOn w:val="DefaultParagraphFont"/>
    <w:uiPriority w:val="99"/>
    <w:semiHidden/>
    <w:unhideWhenUsed/>
    <w:rsid w:val="004B5EE5"/>
    <w:rPr>
      <w:color w:val="954F72" w:themeColor="followedHyperlink"/>
      <w:u w:val="single"/>
    </w:rPr>
  </w:style>
  <w:style w:type="paragraph" w:styleId="BalloonText">
    <w:name w:val="Balloon Text"/>
    <w:basedOn w:val="Normal"/>
    <w:link w:val="BalloonTextChar"/>
    <w:uiPriority w:val="99"/>
    <w:semiHidden/>
    <w:unhideWhenUsed/>
    <w:rsid w:val="00A117B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117B7"/>
    <w:rPr>
      <w:rFonts w:ascii="Segoe UI" w:hAnsi="Segoe UI" w:cs="Segoe UI"/>
      <w:sz w:val="18"/>
      <w:szCs w:val="18"/>
    </w:rPr>
  </w:style>
  <w:style w:type="paragraph" w:styleId="Header">
    <w:name w:val="header"/>
    <w:basedOn w:val="Normal"/>
    <w:link w:val="HeaderChar"/>
    <w:uiPriority w:val="99"/>
    <w:unhideWhenUsed/>
    <w:rsid w:val="006D1D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6D1D42"/>
  </w:style>
  <w:style w:type="paragraph" w:styleId="Footer">
    <w:name w:val="footer"/>
    <w:basedOn w:val="Normal"/>
    <w:link w:val="FooterChar"/>
    <w:uiPriority w:val="99"/>
    <w:unhideWhenUsed/>
    <w:rsid w:val="006D1D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D1D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5913125">
      <w:bodyDiv w:val="1"/>
      <w:marLeft w:val="0"/>
      <w:marRight w:val="0"/>
      <w:marTop w:val="0"/>
      <w:marBottom w:val="0"/>
      <w:divBdr>
        <w:top w:val="none" w:sz="0" w:space="0" w:color="auto"/>
        <w:left w:val="none" w:sz="0" w:space="0" w:color="auto"/>
        <w:bottom w:val="none" w:sz="0" w:space="0" w:color="auto"/>
        <w:right w:val="none" w:sz="0" w:space="0" w:color="auto"/>
      </w:divBdr>
    </w:div>
    <w:div w:id="1378162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oaa@sfc.edu"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sfc-accommodate.symplicity.com/public_accommodation/"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catalog.sfc.edu/catalogue/general-information/academic-life/academic-policie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forms.office.com/Pages/ResponsePage.aspx?id=CLmBycML4kinHvtNhxj3bChiUrQSDq5NhE2nkMmxH-NUQkZTRUJJVk5RREdZQllSQzk2TzlNRFlVNC4u"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forms.office.com/Pages/ResponsePage.aspx?id=CLmBycML4kinHvtNhxj3bEWdiS9ItC5KiPiwaJcNxU9URDFRUDBMR0ZYU0NGMVJFTUk2VkwxMUMyQy4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d48de56d-05e6-46e7-a308-052a9e0767df"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F59CD8C12F6CE488FEC2598DE4B334B" ma:contentTypeVersion="17" ma:contentTypeDescription="Create a new document." ma:contentTypeScope="" ma:versionID="1c61e5a252bd677e2aa4ed66b703342e">
  <xsd:schema xmlns:xsd="http://www.w3.org/2001/XMLSchema" xmlns:xs="http://www.w3.org/2001/XMLSchema" xmlns:p="http://schemas.microsoft.com/office/2006/metadata/properties" xmlns:ns3="d48de56d-05e6-46e7-a308-052a9e0767df" xmlns:ns4="9688000d-1b98-48b8-8154-f91cacdf7c78" targetNamespace="http://schemas.microsoft.com/office/2006/metadata/properties" ma:root="true" ma:fieldsID="5529bc1e32ab497499ffd985c9cde20a" ns3:_="" ns4:_="">
    <xsd:import namespace="d48de56d-05e6-46e7-a308-052a9e0767df"/>
    <xsd:import namespace="9688000d-1b98-48b8-8154-f91cacdf7c78"/>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AutoKeyPoints" minOccurs="0"/>
                <xsd:element ref="ns3:MediaServiceKeyPoints" minOccurs="0"/>
                <xsd:element ref="ns3:MediaServiceGenerationTime" minOccurs="0"/>
                <xsd:element ref="ns3:MediaServiceEventHashCode" minOccurs="0"/>
                <xsd:element ref="ns4:SharedWithUsers" minOccurs="0"/>
                <xsd:element ref="ns4:SharedWithDetails" minOccurs="0"/>
                <xsd:element ref="ns4:SharingHintHash"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8de56d-05e6-46e7-a308-052a9e0767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688000d-1b98-48b8-8154-f91cacdf7c78"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0A85EBC-FFA1-44D3-A212-2159714AAB1D}">
  <ds:schemaRefs>
    <ds:schemaRef ds:uri="http://schemas.microsoft.com/office/2006/metadata/properties"/>
    <ds:schemaRef ds:uri="http://schemas.microsoft.com/office/infopath/2007/PartnerControls"/>
    <ds:schemaRef ds:uri="d48de56d-05e6-46e7-a308-052a9e0767df"/>
  </ds:schemaRefs>
</ds:datastoreItem>
</file>

<file path=customXml/itemProps2.xml><?xml version="1.0" encoding="utf-8"?>
<ds:datastoreItem xmlns:ds="http://schemas.openxmlformats.org/officeDocument/2006/customXml" ds:itemID="{4636DC4D-5512-4413-A80A-C36A8F1F3D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8de56d-05e6-46e7-a308-052a9e0767df"/>
    <ds:schemaRef ds:uri="9688000d-1b98-48b8-8154-f91cacdf7c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1ACCBB9-2A63-4C91-8CAA-79B6C779C8B7}">
  <ds:schemaRefs>
    <ds:schemaRef ds:uri="http://schemas.openxmlformats.org/officeDocument/2006/bibliography"/>
  </ds:schemaRefs>
</ds:datastoreItem>
</file>

<file path=customXml/itemProps4.xml><?xml version="1.0" encoding="utf-8"?>
<ds:datastoreItem xmlns:ds="http://schemas.openxmlformats.org/officeDocument/2006/customXml" ds:itemID="{99F6FE08-02DD-4EA3-B947-E1824507502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566</TotalTime>
  <Pages>2</Pages>
  <Words>800</Words>
  <Characters>4566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St. Francis College</Company>
  <LinksUpToDate>false</LinksUpToDate>
  <CharactersWithSpaces>5356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Edwards</dc:creator>
  <cp:keywords/>
  <dc:description/>
  <cp:lastModifiedBy>John Edwards</cp:lastModifiedBy>
  <cp:revision>46</cp:revision>
  <cp:lastPrinted>2024-08-31T14:42:00Z</cp:lastPrinted>
  <dcterms:created xsi:type="dcterms:W3CDTF">2024-02-04T20:52:00Z</dcterms:created>
  <dcterms:modified xsi:type="dcterms:W3CDTF">2026-04-23T16:07:00Z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0x010100BF59CD8C12F6CE488FEC2598DE4B334B</vt:lpwstr>
  </property>
</Properties>
</file>